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EC" w:rsidRDefault="00855DEC">
      <w:pPr>
        <w:jc w:val="center"/>
        <w:rPr>
          <w:b/>
          <w:szCs w:val="22"/>
        </w:rPr>
      </w:pPr>
      <w:bookmarkStart w:id="0" w:name="_GoBack"/>
      <w:bookmarkEnd w:id="0"/>
      <w:r>
        <w:rPr>
          <w:b/>
          <w:szCs w:val="22"/>
        </w:rPr>
        <w:t>Before the</w:t>
      </w:r>
    </w:p>
    <w:p w:rsidR="00855DEC" w:rsidRDefault="00855DEC">
      <w:pPr>
        <w:jc w:val="center"/>
        <w:rPr>
          <w:b/>
          <w:szCs w:val="22"/>
        </w:rPr>
      </w:pPr>
      <w:r>
        <w:rPr>
          <w:b/>
          <w:szCs w:val="22"/>
        </w:rPr>
        <w:t>Federal Communications Commission</w:t>
      </w:r>
    </w:p>
    <w:p w:rsidR="00855DEC" w:rsidRDefault="00855DEC">
      <w:pPr>
        <w:jc w:val="center"/>
        <w:rPr>
          <w:b/>
          <w:szCs w:val="22"/>
        </w:rPr>
      </w:pPr>
      <w:smartTag w:uri="urn:schemas-microsoft-com:office:smarttags" w:element="City">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smartTag>
    </w:p>
    <w:tbl>
      <w:tblPr>
        <w:tblW w:w="9648" w:type="dxa"/>
        <w:tblLayout w:type="fixed"/>
        <w:tblLook w:val="0000" w:firstRow="0" w:lastRow="0" w:firstColumn="0" w:lastColumn="0" w:noHBand="0" w:noVBand="0"/>
      </w:tblPr>
      <w:tblGrid>
        <w:gridCol w:w="4698"/>
        <w:gridCol w:w="720"/>
        <w:gridCol w:w="4230"/>
      </w:tblGrid>
      <w:tr w:rsidR="00855DEC">
        <w:trPr>
          <w:trHeight w:val="2844"/>
        </w:trPr>
        <w:tc>
          <w:tcPr>
            <w:tcW w:w="4698" w:type="dxa"/>
          </w:tcPr>
          <w:p w:rsidR="00855DEC" w:rsidRDefault="00855DEC">
            <w:pPr>
              <w:ind w:right="-18"/>
              <w:rPr>
                <w:szCs w:val="22"/>
              </w:rPr>
            </w:pPr>
          </w:p>
          <w:p w:rsidR="00855DEC" w:rsidRDefault="00855DEC">
            <w:pPr>
              <w:ind w:right="-18"/>
              <w:rPr>
                <w:szCs w:val="22"/>
              </w:rPr>
            </w:pPr>
            <w:r>
              <w:rPr>
                <w:szCs w:val="22"/>
              </w:rPr>
              <w:t>In the Matter of</w:t>
            </w:r>
          </w:p>
          <w:p w:rsidR="00855DEC" w:rsidRDefault="00855DEC">
            <w:pPr>
              <w:ind w:right="-18"/>
              <w:rPr>
                <w:szCs w:val="22"/>
              </w:rPr>
            </w:pPr>
          </w:p>
          <w:p w:rsidR="00855DEC" w:rsidRDefault="00855DEC">
            <w:pPr>
              <w:ind w:right="-18"/>
              <w:rPr>
                <w:b/>
              </w:rPr>
            </w:pPr>
            <w:r>
              <w:rPr>
                <w:b/>
              </w:rPr>
              <w:t>AMFM Broadcasting Licenses, LLC</w:t>
            </w:r>
          </w:p>
          <w:p w:rsidR="00855DEC" w:rsidRDefault="00855DEC">
            <w:pPr>
              <w:ind w:right="-18"/>
            </w:pPr>
          </w:p>
          <w:p w:rsidR="00855DEC" w:rsidRDefault="00855DEC">
            <w:pPr>
              <w:ind w:right="-18"/>
              <w:rPr>
                <w:szCs w:val="22"/>
              </w:rPr>
            </w:pPr>
            <w:r>
              <w:rPr>
                <w:szCs w:val="22"/>
              </w:rPr>
              <w:t>Licensee of Stations</w:t>
            </w:r>
          </w:p>
          <w:p w:rsidR="00855DEC" w:rsidRDefault="00855DEC" w:rsidP="0050790B">
            <w:r>
              <w:t xml:space="preserve">WNUA(FM), </w:t>
            </w:r>
            <w:smartTag w:uri="urn:schemas-microsoft-com:office:smarttags" w:element="City">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smartTag>
          </w:p>
          <w:p w:rsidR="00855DEC" w:rsidRDefault="00855DEC" w:rsidP="0050790B"/>
          <w:p w:rsidR="00855DEC" w:rsidRDefault="00855DEC" w:rsidP="0050790B">
            <w:r>
              <w:t xml:space="preserve">WGCI-FM, </w:t>
            </w:r>
            <w:smartTag w:uri="urn:schemas-microsoft-com:office:smarttags" w:element="City">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smartTag>
          </w:p>
          <w:p w:rsidR="00855DEC" w:rsidRDefault="00855DEC">
            <w:pPr>
              <w:ind w:right="-18"/>
            </w:pPr>
          </w:p>
          <w:p w:rsidR="00855DEC" w:rsidRDefault="00855DEC">
            <w:pPr>
              <w:ind w:right="-18"/>
            </w:pPr>
            <w:r>
              <w:t xml:space="preserve">WKSC-FM, </w:t>
            </w:r>
            <w:smartTag w:uri="urn:schemas-microsoft-com:office:smarttags" w:element="City">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smartTag>
          </w:p>
          <w:p w:rsidR="00855DEC" w:rsidRDefault="00855DEC">
            <w:pPr>
              <w:ind w:right="-18"/>
            </w:pPr>
          </w:p>
          <w:p w:rsidR="00855DEC" w:rsidRDefault="00855DEC">
            <w:pPr>
              <w:ind w:right="-18"/>
            </w:pPr>
            <w:r>
              <w:t xml:space="preserve">WGRB(AM), </w:t>
            </w:r>
            <w:smartTag w:uri="urn:schemas-microsoft-com:office:smarttags" w:element="City">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smartTag>
          </w:p>
          <w:p w:rsidR="00855DEC" w:rsidRDefault="00855DEC">
            <w:pPr>
              <w:ind w:right="-18"/>
            </w:pPr>
          </w:p>
          <w:p w:rsidR="00855DEC" w:rsidRDefault="00855DEC">
            <w:pPr>
              <w:ind w:right="-18"/>
            </w:pPr>
            <w:r>
              <w:t xml:space="preserve">WLIT-FM, </w:t>
            </w:r>
            <w:smartTag w:uri="urn:schemas-microsoft-com:office:smarttags" w:element="City">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smartTag>
          </w:p>
          <w:p w:rsidR="00855DEC" w:rsidRDefault="00855DEC" w:rsidP="005B620E">
            <w:pPr>
              <w:ind w:right="-18"/>
              <w:rPr>
                <w:b/>
                <w:szCs w:val="22"/>
              </w:rPr>
            </w:pPr>
          </w:p>
          <w:p w:rsidR="00855DEC" w:rsidRDefault="00855DEC" w:rsidP="005B620E">
            <w:pPr>
              <w:ind w:right="-18"/>
              <w:rPr>
                <w:szCs w:val="22"/>
              </w:rPr>
            </w:pPr>
            <w:r>
              <w:rPr>
                <w:szCs w:val="22"/>
              </w:rPr>
              <w:t xml:space="preserve">WVAZ(FM), </w:t>
            </w:r>
            <w:smartTag w:uri="urn:schemas-microsoft-com:office:smarttags" w:element="City">
              <w:smartTag w:uri="urn:schemas-microsoft-com:office:smarttags" w:element="place">
                <w:smartTag w:uri="urn:schemas-microsoft-com:office:smarttags" w:element="City">
                  <w:r>
                    <w:rPr>
                      <w:szCs w:val="22"/>
                    </w:rPr>
                    <w:t>Oak Park</w:t>
                  </w:r>
                </w:smartTag>
                <w:r>
                  <w:rPr>
                    <w:szCs w:val="22"/>
                  </w:rPr>
                  <w:t xml:space="preserve">, </w:t>
                </w:r>
                <w:smartTag w:uri="urn:schemas-microsoft-com:office:smarttags" w:element="State">
                  <w:r>
                    <w:rPr>
                      <w:szCs w:val="22"/>
                    </w:rPr>
                    <w:t>IL</w:t>
                  </w:r>
                </w:smartTag>
              </w:smartTag>
            </w:smartTag>
          </w:p>
          <w:p w:rsidR="00855DEC" w:rsidRDefault="00855DEC" w:rsidP="005B620E">
            <w:pPr>
              <w:ind w:right="-18"/>
              <w:rPr>
                <w:szCs w:val="22"/>
              </w:rPr>
            </w:pPr>
          </w:p>
          <w:p w:rsidR="00855DEC" w:rsidRPr="00556556" w:rsidRDefault="00855DEC" w:rsidP="005B620E">
            <w:pPr>
              <w:ind w:right="-18"/>
              <w:rPr>
                <w:szCs w:val="22"/>
              </w:rPr>
            </w:pPr>
          </w:p>
        </w:tc>
        <w:tc>
          <w:tcPr>
            <w:tcW w:w="720" w:type="dxa"/>
          </w:tcPr>
          <w:p w:rsidR="00855DEC" w:rsidRDefault="00855DEC">
            <w:pPr>
              <w:rPr>
                <w:b/>
                <w:szCs w:val="22"/>
              </w:rPr>
            </w:pP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pPr>
              <w:rPr>
                <w:b/>
                <w:szCs w:val="22"/>
              </w:rPr>
            </w:pPr>
            <w:r>
              <w:rPr>
                <w:b/>
                <w:szCs w:val="22"/>
              </w:rPr>
              <w:t>)</w:t>
            </w:r>
          </w:p>
          <w:p w:rsidR="00855DEC" w:rsidRDefault="00855DEC" w:rsidP="00C82CAF">
            <w:pPr>
              <w:rPr>
                <w:b/>
                <w:szCs w:val="22"/>
              </w:rPr>
            </w:pPr>
            <w:r>
              <w:rPr>
                <w:b/>
                <w:szCs w:val="22"/>
              </w:rPr>
              <w:t>)</w:t>
            </w:r>
          </w:p>
          <w:p w:rsidR="00855DEC" w:rsidRDefault="00855DEC" w:rsidP="00C82CAF">
            <w:pPr>
              <w:rPr>
                <w:b/>
                <w:szCs w:val="22"/>
              </w:rPr>
            </w:pPr>
            <w:r>
              <w:rPr>
                <w:b/>
                <w:szCs w:val="22"/>
              </w:rPr>
              <w:t>)</w:t>
            </w:r>
          </w:p>
          <w:p w:rsidR="00855DEC" w:rsidRDefault="00855DEC" w:rsidP="00C82CAF">
            <w:pPr>
              <w:rPr>
                <w:b/>
                <w:szCs w:val="22"/>
              </w:rPr>
            </w:pPr>
            <w:r>
              <w:rPr>
                <w:b/>
                <w:szCs w:val="22"/>
              </w:rPr>
              <w:t>)</w:t>
            </w:r>
          </w:p>
          <w:p w:rsidR="00855DEC" w:rsidRDefault="00855DEC" w:rsidP="003861A5">
            <w:pPr>
              <w:rPr>
                <w:b/>
                <w:szCs w:val="22"/>
              </w:rPr>
            </w:pPr>
            <w:r>
              <w:rPr>
                <w:b/>
                <w:szCs w:val="22"/>
              </w:rPr>
              <w:t>)</w:t>
            </w:r>
          </w:p>
          <w:p w:rsidR="00855DEC" w:rsidRDefault="00855DEC" w:rsidP="00204690">
            <w:pPr>
              <w:rPr>
                <w:b/>
                <w:szCs w:val="22"/>
              </w:rPr>
            </w:pPr>
            <w:r>
              <w:rPr>
                <w:b/>
                <w:szCs w:val="22"/>
              </w:rPr>
              <w:t>)</w:t>
            </w:r>
          </w:p>
          <w:p w:rsidR="00855DEC" w:rsidRDefault="00855DEC" w:rsidP="005B620E">
            <w:pPr>
              <w:rPr>
                <w:b/>
                <w:szCs w:val="22"/>
              </w:rPr>
            </w:pPr>
          </w:p>
        </w:tc>
        <w:tc>
          <w:tcPr>
            <w:tcW w:w="4230" w:type="dxa"/>
          </w:tcPr>
          <w:p w:rsidR="00855DEC" w:rsidRDefault="00855DEC">
            <w:pPr>
              <w:rPr>
                <w:szCs w:val="22"/>
              </w:rPr>
            </w:pPr>
          </w:p>
          <w:p w:rsidR="00855DEC" w:rsidRDefault="008475CC" w:rsidP="001D2B2E">
            <w:pPr>
              <w:rPr>
                <w:spacing w:val="-2"/>
                <w:szCs w:val="22"/>
              </w:rPr>
            </w:pPr>
            <w:r>
              <w:rPr>
                <w:spacing w:val="-2"/>
                <w:szCs w:val="22"/>
              </w:rPr>
              <w:t xml:space="preserve">NAL/Acct. No. </w:t>
            </w:r>
            <w:r w:rsidR="00D347D3" w:rsidRPr="00D347D3">
              <w:rPr>
                <w:spacing w:val="-2"/>
                <w:szCs w:val="22"/>
              </w:rPr>
              <w:t>MB-201341410020</w:t>
            </w:r>
          </w:p>
          <w:p w:rsidR="00855DEC" w:rsidRDefault="00855DEC">
            <w:pPr>
              <w:rPr>
                <w:spacing w:val="-2"/>
                <w:szCs w:val="22"/>
              </w:rPr>
            </w:pPr>
          </w:p>
          <w:p w:rsidR="00855DEC" w:rsidRPr="001A2ED6" w:rsidRDefault="00855DEC" w:rsidP="001D2B2E">
            <w:pPr>
              <w:rPr>
                <w:spacing w:val="-2"/>
                <w:szCs w:val="22"/>
              </w:rPr>
            </w:pPr>
            <w:r>
              <w:rPr>
                <w:spacing w:val="-2"/>
                <w:szCs w:val="22"/>
              </w:rPr>
              <w:t>FRN:  001</w:t>
            </w:r>
            <w:r w:rsidR="007F1826">
              <w:rPr>
                <w:spacing w:val="-2"/>
                <w:szCs w:val="22"/>
              </w:rPr>
              <w:t>9360379</w:t>
            </w:r>
          </w:p>
          <w:p w:rsidR="00855DEC" w:rsidRDefault="00855DEC" w:rsidP="00297685">
            <w:pPr>
              <w:rPr>
                <w:spacing w:val="-2"/>
                <w:szCs w:val="22"/>
              </w:rPr>
            </w:pPr>
          </w:p>
          <w:p w:rsidR="00855DEC" w:rsidRDefault="00855DEC" w:rsidP="00297685">
            <w:pPr>
              <w:rPr>
                <w:spacing w:val="-2"/>
                <w:szCs w:val="22"/>
              </w:rPr>
            </w:pPr>
          </w:p>
          <w:p w:rsidR="00855DEC" w:rsidRDefault="00855DEC" w:rsidP="00297685">
            <w:pPr>
              <w:rPr>
                <w:spacing w:val="-2"/>
                <w:szCs w:val="22"/>
              </w:rPr>
            </w:pPr>
            <w:r>
              <w:rPr>
                <w:spacing w:val="-2"/>
                <w:szCs w:val="22"/>
              </w:rPr>
              <w:t>Facility I.D. No. 53971</w:t>
            </w:r>
          </w:p>
          <w:p w:rsidR="00855DEC" w:rsidRDefault="00855DEC">
            <w:pPr>
              <w:rPr>
                <w:spacing w:val="-2"/>
                <w:szCs w:val="22"/>
              </w:rPr>
            </w:pPr>
          </w:p>
          <w:p w:rsidR="00855DEC" w:rsidRDefault="00855DEC">
            <w:pPr>
              <w:rPr>
                <w:spacing w:val="-2"/>
                <w:szCs w:val="22"/>
              </w:rPr>
            </w:pPr>
            <w:r>
              <w:rPr>
                <w:spacing w:val="-2"/>
                <w:szCs w:val="22"/>
              </w:rPr>
              <w:t>Facility I.D. No. 51165</w:t>
            </w:r>
          </w:p>
          <w:p w:rsidR="00855DEC" w:rsidRDefault="00855DEC">
            <w:pPr>
              <w:rPr>
                <w:spacing w:val="-2"/>
                <w:szCs w:val="22"/>
              </w:rPr>
            </w:pPr>
          </w:p>
          <w:p w:rsidR="00855DEC" w:rsidRDefault="00855DEC">
            <w:pPr>
              <w:rPr>
                <w:spacing w:val="-2"/>
                <w:szCs w:val="22"/>
              </w:rPr>
            </w:pPr>
            <w:r>
              <w:rPr>
                <w:spacing w:val="-2"/>
                <w:szCs w:val="22"/>
              </w:rPr>
              <w:t>Facility I.D. No. 74178</w:t>
            </w:r>
          </w:p>
          <w:p w:rsidR="00855DEC" w:rsidRDefault="00855DEC">
            <w:pPr>
              <w:rPr>
                <w:spacing w:val="-2"/>
                <w:szCs w:val="22"/>
              </w:rPr>
            </w:pPr>
          </w:p>
          <w:p w:rsidR="00855DEC" w:rsidRDefault="00855DEC">
            <w:pPr>
              <w:rPr>
                <w:spacing w:val="-2"/>
                <w:szCs w:val="22"/>
              </w:rPr>
            </w:pPr>
            <w:r>
              <w:rPr>
                <w:spacing w:val="-2"/>
                <w:szCs w:val="22"/>
              </w:rPr>
              <w:t>Facility I.D. No. 51162</w:t>
            </w:r>
          </w:p>
          <w:p w:rsidR="00855DEC" w:rsidRDefault="00855DEC">
            <w:pPr>
              <w:rPr>
                <w:spacing w:val="-2"/>
                <w:szCs w:val="22"/>
              </w:rPr>
            </w:pPr>
          </w:p>
          <w:p w:rsidR="00855DEC" w:rsidRDefault="00855DEC" w:rsidP="0050790B">
            <w:pPr>
              <w:rPr>
                <w:spacing w:val="-2"/>
                <w:szCs w:val="22"/>
              </w:rPr>
            </w:pPr>
            <w:r>
              <w:rPr>
                <w:spacing w:val="-2"/>
                <w:szCs w:val="22"/>
              </w:rPr>
              <w:t>Facility I.D. No. 70042</w:t>
            </w:r>
          </w:p>
          <w:p w:rsidR="00855DEC" w:rsidRDefault="00855DEC" w:rsidP="0050790B">
            <w:pPr>
              <w:rPr>
                <w:spacing w:val="-2"/>
                <w:szCs w:val="22"/>
              </w:rPr>
            </w:pPr>
          </w:p>
          <w:p w:rsidR="00855DEC" w:rsidRDefault="00855DEC" w:rsidP="00556556">
            <w:pPr>
              <w:rPr>
                <w:spacing w:val="-2"/>
                <w:szCs w:val="22"/>
              </w:rPr>
            </w:pPr>
            <w:r>
              <w:rPr>
                <w:spacing w:val="-2"/>
                <w:szCs w:val="22"/>
              </w:rPr>
              <w:t>Facility I.D. No. 6588</w:t>
            </w:r>
          </w:p>
          <w:p w:rsidR="00855DEC" w:rsidRDefault="00855DEC" w:rsidP="00F637DA">
            <w:pPr>
              <w:rPr>
                <w:spacing w:val="-2"/>
                <w:szCs w:val="22"/>
              </w:rPr>
            </w:pPr>
          </w:p>
        </w:tc>
      </w:tr>
    </w:tbl>
    <w:p w:rsidR="00855DEC" w:rsidRDefault="00855DEC">
      <w:pPr>
        <w:jc w:val="center"/>
        <w:rPr>
          <w:b/>
          <w:caps/>
          <w:szCs w:val="22"/>
        </w:rPr>
      </w:pPr>
      <w:r>
        <w:rPr>
          <w:b/>
          <w:caps/>
          <w:spacing w:val="-2"/>
          <w:szCs w:val="22"/>
        </w:rPr>
        <w:t>NOTICE OF Apparent LiabilitY for Forfeiture</w:t>
      </w:r>
    </w:p>
    <w:p w:rsidR="00855DEC" w:rsidRDefault="00855DEC">
      <w:pPr>
        <w:rPr>
          <w:szCs w:val="22"/>
        </w:rPr>
      </w:pPr>
    </w:p>
    <w:p w:rsidR="00855DEC" w:rsidRDefault="00855DEC">
      <w:pPr>
        <w:tabs>
          <w:tab w:val="left" w:pos="5760"/>
        </w:tabs>
        <w:rPr>
          <w:b/>
          <w:szCs w:val="22"/>
        </w:rPr>
      </w:pPr>
      <w:r>
        <w:rPr>
          <w:b/>
          <w:szCs w:val="22"/>
        </w:rPr>
        <w:t xml:space="preserve">Adopted:  </w:t>
      </w:r>
      <w:r w:rsidR="001E2773">
        <w:rPr>
          <w:b/>
          <w:szCs w:val="22"/>
        </w:rPr>
        <w:t>December 5</w:t>
      </w:r>
      <w:r>
        <w:rPr>
          <w:b/>
          <w:szCs w:val="22"/>
        </w:rPr>
        <w:t>, 2013</w:t>
      </w:r>
      <w:r>
        <w:rPr>
          <w:b/>
          <w:szCs w:val="22"/>
        </w:rPr>
        <w:tab/>
      </w:r>
      <w:r>
        <w:rPr>
          <w:b/>
          <w:szCs w:val="22"/>
        </w:rPr>
        <w:tab/>
        <w:t xml:space="preserve">Released:  </w:t>
      </w:r>
      <w:r w:rsidR="001E2773">
        <w:rPr>
          <w:b/>
          <w:szCs w:val="22"/>
        </w:rPr>
        <w:t>December 5</w:t>
      </w:r>
      <w:r>
        <w:rPr>
          <w:b/>
          <w:szCs w:val="22"/>
        </w:rPr>
        <w:t>, 2013</w:t>
      </w:r>
    </w:p>
    <w:p w:rsidR="00855DEC" w:rsidRDefault="00855DEC">
      <w:pPr>
        <w:tabs>
          <w:tab w:val="left" w:pos="5760"/>
        </w:tabs>
        <w:rPr>
          <w:b/>
          <w:szCs w:val="22"/>
        </w:rPr>
      </w:pPr>
    </w:p>
    <w:p w:rsidR="00855DEC" w:rsidRDefault="00855DEC">
      <w:pPr>
        <w:tabs>
          <w:tab w:val="left" w:pos="5760"/>
        </w:tabs>
        <w:rPr>
          <w:szCs w:val="22"/>
        </w:rPr>
      </w:pPr>
      <w:r>
        <w:rPr>
          <w:szCs w:val="22"/>
        </w:rPr>
        <w:t>By the Chief, Media Bureau</w:t>
      </w:r>
    </w:p>
    <w:p w:rsidR="00855DEC" w:rsidRDefault="00855DEC">
      <w:pPr>
        <w:tabs>
          <w:tab w:val="left" w:pos="5760"/>
        </w:tabs>
        <w:rPr>
          <w:szCs w:val="22"/>
        </w:rPr>
      </w:pPr>
    </w:p>
    <w:p w:rsidR="00855DEC" w:rsidRDefault="00855DEC">
      <w:pPr>
        <w:tabs>
          <w:tab w:val="left" w:pos="5760"/>
        </w:tabs>
        <w:rPr>
          <w:b/>
          <w:szCs w:val="22"/>
        </w:rPr>
      </w:pPr>
      <w:r>
        <w:rPr>
          <w:b/>
          <w:szCs w:val="22"/>
        </w:rPr>
        <w:t>I.     INTRODUCTION</w:t>
      </w:r>
    </w:p>
    <w:p w:rsidR="00855DEC" w:rsidRDefault="00855DEC">
      <w:pPr>
        <w:tabs>
          <w:tab w:val="left" w:pos="5760"/>
        </w:tabs>
        <w:rPr>
          <w:szCs w:val="22"/>
        </w:rPr>
      </w:pPr>
    </w:p>
    <w:p w:rsidR="00855DEC" w:rsidRPr="00A94EF0" w:rsidRDefault="00855DEC" w:rsidP="0004251E">
      <w:pPr>
        <w:numPr>
          <w:ilvl w:val="0"/>
          <w:numId w:val="13"/>
        </w:numPr>
        <w:tabs>
          <w:tab w:val="clear" w:pos="720"/>
          <w:tab w:val="num" w:pos="1440"/>
        </w:tabs>
        <w:ind w:left="0" w:firstLine="720"/>
        <w:rPr>
          <w:szCs w:val="22"/>
        </w:rPr>
      </w:pPr>
      <w:r>
        <w:rPr>
          <w:szCs w:val="22"/>
        </w:rPr>
        <w:t xml:space="preserve">In this </w:t>
      </w:r>
      <w:r>
        <w:rPr>
          <w:i/>
          <w:szCs w:val="22"/>
        </w:rPr>
        <w:t>Notice of Apparent Liability for Forfeiture (“NAL”)</w:t>
      </w:r>
      <w:r>
        <w:rPr>
          <w:szCs w:val="22"/>
        </w:rPr>
        <w:t xml:space="preserve">, we find that </w:t>
      </w:r>
      <w:r w:rsidRPr="00A94EF0">
        <w:t>AMFM Broadcasting Licenses, LLC</w:t>
      </w:r>
      <w:r>
        <w:t xml:space="preserve"> </w:t>
      </w:r>
      <w:r>
        <w:rPr>
          <w:szCs w:val="22"/>
        </w:rPr>
        <w:t xml:space="preserve">(“the Licensee”), licensee of Illinois Stations WNUA(FM), Chicago; WGCI-FM, Chicago; </w:t>
      </w:r>
      <w:r w:rsidRPr="00A94EF0">
        <w:rPr>
          <w:szCs w:val="22"/>
        </w:rPr>
        <w:t>WKSC-FM, Chicago</w:t>
      </w:r>
      <w:r>
        <w:rPr>
          <w:szCs w:val="22"/>
        </w:rPr>
        <w:t xml:space="preserve">; </w:t>
      </w:r>
      <w:r w:rsidRPr="00A94EF0">
        <w:rPr>
          <w:szCs w:val="22"/>
        </w:rPr>
        <w:t>WGRB(AM), Chicago</w:t>
      </w:r>
      <w:r>
        <w:rPr>
          <w:szCs w:val="22"/>
        </w:rPr>
        <w:t xml:space="preserve">; </w:t>
      </w:r>
      <w:r w:rsidRPr="00A94EF0">
        <w:rPr>
          <w:szCs w:val="22"/>
        </w:rPr>
        <w:t>WLIT-FM, Chicago</w:t>
      </w:r>
      <w:r>
        <w:rPr>
          <w:szCs w:val="22"/>
        </w:rPr>
        <w:t xml:space="preserve">; and </w:t>
      </w:r>
      <w:r w:rsidRPr="00A94EF0">
        <w:rPr>
          <w:szCs w:val="22"/>
        </w:rPr>
        <w:t>WVAZ(FM), Oak Park</w:t>
      </w:r>
      <w:r>
        <w:rPr>
          <w:szCs w:val="22"/>
        </w:rPr>
        <w:t xml:space="preserve"> (“the Stations”), apparently willfully and repeatedly violated the Commission’s equal employment opportunity (“EEO”) </w:t>
      </w:r>
      <w:r w:rsidR="00EF2DE4">
        <w:rPr>
          <w:szCs w:val="22"/>
        </w:rPr>
        <w:t>R</w:t>
      </w:r>
      <w:r>
        <w:rPr>
          <w:szCs w:val="22"/>
        </w:rPr>
        <w:t>ules</w:t>
      </w:r>
      <w:r>
        <w:rPr>
          <w:rStyle w:val="FootnoteReference"/>
          <w:szCs w:val="22"/>
        </w:rPr>
        <w:footnoteReference w:id="2"/>
      </w:r>
      <w:r>
        <w:rPr>
          <w:szCs w:val="22"/>
        </w:rPr>
        <w:t xml:space="preserve"> by failing to comply with the</w:t>
      </w:r>
      <w:r w:rsidR="00EF2DE4">
        <w:rPr>
          <w:szCs w:val="22"/>
        </w:rPr>
        <w:t xml:space="preserve"> requirement to notify</w:t>
      </w:r>
      <w:r>
        <w:rPr>
          <w:szCs w:val="22"/>
        </w:rPr>
        <w:t xml:space="preserve"> job referral source</w:t>
      </w:r>
      <w:r w:rsidR="00EF2DE4">
        <w:rPr>
          <w:szCs w:val="22"/>
        </w:rPr>
        <w:t>s about vacancies and to</w:t>
      </w:r>
      <w:r>
        <w:rPr>
          <w:szCs w:val="22"/>
        </w:rPr>
        <w:t xml:space="preserve"> self-assess</w:t>
      </w:r>
      <w:r w:rsidR="006F0773">
        <w:rPr>
          <w:szCs w:val="22"/>
        </w:rPr>
        <w:t xml:space="preserve"> EEO performance</w:t>
      </w:r>
      <w:r>
        <w:rPr>
          <w:szCs w:val="22"/>
        </w:rPr>
        <w:t xml:space="preserve">.  Based upon our review of the facts and circumstances before us, we conclude that the Licensee is apparently liable for a monetary forfeiture in the amount of </w:t>
      </w:r>
      <w:r w:rsidR="00987DA4">
        <w:rPr>
          <w:szCs w:val="22"/>
        </w:rPr>
        <w:t>twenty</w:t>
      </w:r>
      <w:r>
        <w:rPr>
          <w:szCs w:val="22"/>
        </w:rPr>
        <w:t xml:space="preserve"> thousand dollars ($</w:t>
      </w:r>
      <w:r w:rsidR="00987DA4">
        <w:rPr>
          <w:szCs w:val="22"/>
        </w:rPr>
        <w:t>20</w:t>
      </w:r>
      <w:r>
        <w:rPr>
          <w:szCs w:val="22"/>
        </w:rPr>
        <w:t xml:space="preserve">,000).  </w:t>
      </w:r>
      <w:r>
        <w:t>To prevent future violations of these requirements, we also impose reporting conditions on the Licensee and any successor</w:t>
      </w:r>
      <w:r>
        <w:rPr>
          <w:b/>
        </w:rPr>
        <w:t xml:space="preserve"> </w:t>
      </w:r>
      <w:r>
        <w:t xml:space="preserve">licensee of any of the Stations, as well as on the licensee of any stations that become a part of the above Stations’ employment unit during the reporting conditions periods listed below.    </w:t>
      </w:r>
    </w:p>
    <w:p w:rsidR="00855DEC" w:rsidRDefault="00855DEC">
      <w:pPr>
        <w:ind w:right="-18"/>
        <w:rPr>
          <w:szCs w:val="22"/>
        </w:rPr>
      </w:pPr>
    </w:p>
    <w:p w:rsidR="00855DEC" w:rsidRDefault="00855DEC">
      <w:pPr>
        <w:ind w:right="-18"/>
        <w:rPr>
          <w:b/>
          <w:szCs w:val="22"/>
        </w:rPr>
      </w:pPr>
      <w:r>
        <w:rPr>
          <w:b/>
          <w:szCs w:val="22"/>
        </w:rPr>
        <w:t>II.     BACKGROUND</w:t>
      </w:r>
    </w:p>
    <w:p w:rsidR="00855DEC" w:rsidRDefault="00855DEC">
      <w:pPr>
        <w:tabs>
          <w:tab w:val="left" w:pos="720"/>
          <w:tab w:val="left" w:pos="1440"/>
        </w:tabs>
        <w:rPr>
          <w:szCs w:val="22"/>
        </w:rPr>
      </w:pPr>
    </w:p>
    <w:p w:rsidR="00855DEC" w:rsidRDefault="00855DEC" w:rsidP="0004251E">
      <w:pPr>
        <w:numPr>
          <w:ilvl w:val="0"/>
          <w:numId w:val="13"/>
        </w:numPr>
        <w:tabs>
          <w:tab w:val="clear" w:pos="720"/>
          <w:tab w:val="num" w:pos="1440"/>
        </w:tabs>
        <w:ind w:left="0" w:firstLine="720"/>
        <w:rPr>
          <w:szCs w:val="22"/>
        </w:rPr>
      </w:pPr>
      <w:r>
        <w:rPr>
          <w:szCs w:val="22"/>
        </w:rPr>
        <w:t xml:space="preserve">Sections of the Rules at issue in this case include the following:  </w:t>
      </w:r>
    </w:p>
    <w:p w:rsidR="00855DEC" w:rsidRDefault="00855DEC">
      <w:pPr>
        <w:tabs>
          <w:tab w:val="left" w:pos="720"/>
          <w:tab w:val="left" w:pos="1440"/>
        </w:tabs>
        <w:ind w:left="780"/>
        <w:rPr>
          <w:szCs w:val="22"/>
        </w:rPr>
      </w:pPr>
    </w:p>
    <w:p w:rsidR="00855DEC" w:rsidRDefault="00855DEC" w:rsidP="00594810">
      <w:pPr>
        <w:numPr>
          <w:ilvl w:val="0"/>
          <w:numId w:val="4"/>
        </w:numPr>
        <w:tabs>
          <w:tab w:val="left" w:pos="1440"/>
        </w:tabs>
        <w:rPr>
          <w:szCs w:val="22"/>
        </w:rPr>
      </w:pPr>
      <w:r>
        <w:rPr>
          <w:szCs w:val="22"/>
        </w:rPr>
        <w:lastRenderedPageBreak/>
        <w:t>Section 73.2080(c)(1)</w:t>
      </w:r>
      <w:r>
        <w:t xml:space="preserve">(ii) requires a licensee to </w:t>
      </w:r>
      <w:r>
        <w:rPr>
          <w:szCs w:val="22"/>
        </w:rPr>
        <w:t>provide notification of each vacancy to any organization that distributes information about employment opportunities to job seekers upon request by such organization; and</w:t>
      </w:r>
    </w:p>
    <w:p w:rsidR="00855DEC" w:rsidRDefault="00855DEC">
      <w:pPr>
        <w:tabs>
          <w:tab w:val="left" w:pos="720"/>
          <w:tab w:val="left" w:pos="1440"/>
        </w:tabs>
        <w:rPr>
          <w:szCs w:val="22"/>
        </w:rPr>
      </w:pPr>
    </w:p>
    <w:p w:rsidR="00855DEC" w:rsidRDefault="00855DEC">
      <w:pPr>
        <w:numPr>
          <w:ilvl w:val="1"/>
          <w:numId w:val="11"/>
        </w:numPr>
        <w:rPr>
          <w:szCs w:val="22"/>
        </w:rPr>
      </w:pPr>
      <w:r>
        <w:rPr>
          <w:szCs w:val="22"/>
        </w:rPr>
        <w:t xml:space="preserve">Section 73.2080(c)(3) requires a licensee to analyze the recruitment program for its employment unit on an ongoing basis to ensure that the program is effective in achieving broad outreach to potential applicants, and to address any problems found as a result of its analysis. </w:t>
      </w:r>
    </w:p>
    <w:p w:rsidR="00855DEC" w:rsidRDefault="00855DEC">
      <w:pPr>
        <w:tabs>
          <w:tab w:val="left" w:pos="1440"/>
        </w:tabs>
        <w:ind w:left="360"/>
        <w:rPr>
          <w:szCs w:val="22"/>
        </w:rPr>
      </w:pPr>
    </w:p>
    <w:p w:rsidR="00855DEC" w:rsidRDefault="00855DEC" w:rsidP="0004251E">
      <w:pPr>
        <w:numPr>
          <w:ilvl w:val="0"/>
          <w:numId w:val="13"/>
        </w:numPr>
        <w:tabs>
          <w:tab w:val="clear" w:pos="720"/>
          <w:tab w:val="num" w:pos="1440"/>
        </w:tabs>
        <w:ind w:left="0" w:firstLine="720"/>
        <w:rPr>
          <w:szCs w:val="22"/>
        </w:rPr>
      </w:pPr>
      <w:r>
        <w:rPr>
          <w:szCs w:val="22"/>
        </w:rPr>
        <w:t xml:space="preserve">The </w:t>
      </w:r>
      <w:r w:rsidRPr="0004251E">
        <w:t>Media</w:t>
      </w:r>
      <w:r>
        <w:rPr>
          <w:szCs w:val="22"/>
        </w:rPr>
        <w:t xml:space="preserve"> Bureau audited the Licensee for its compliance at the Stations with Section 73.2080 of the Commission’s Rules</w:t>
      </w:r>
      <w:r>
        <w:rPr>
          <w:rStyle w:val="FootnoteReference"/>
          <w:szCs w:val="22"/>
        </w:rPr>
        <w:footnoteReference w:id="3"/>
      </w:r>
      <w:r>
        <w:rPr>
          <w:szCs w:val="22"/>
        </w:rPr>
        <w:t xml:space="preserve"> and we have before us its response to the audit.</w:t>
      </w:r>
      <w:r>
        <w:rPr>
          <w:rStyle w:val="FootnoteReference"/>
          <w:szCs w:val="22"/>
        </w:rPr>
        <w:footnoteReference w:id="4"/>
      </w:r>
      <w:r>
        <w:rPr>
          <w:szCs w:val="22"/>
        </w:rPr>
        <w:t xml:space="preserve">  </w:t>
      </w:r>
    </w:p>
    <w:p w:rsidR="00855DEC" w:rsidRDefault="00855DEC" w:rsidP="003B468D">
      <w:pPr>
        <w:tabs>
          <w:tab w:val="left" w:pos="720"/>
        </w:tabs>
        <w:ind w:left="1440"/>
        <w:rPr>
          <w:szCs w:val="22"/>
        </w:rPr>
      </w:pPr>
    </w:p>
    <w:p w:rsidR="00855DEC" w:rsidRPr="003B468D" w:rsidRDefault="00855DEC" w:rsidP="003B468D">
      <w:pPr>
        <w:tabs>
          <w:tab w:val="left" w:pos="720"/>
        </w:tabs>
        <w:rPr>
          <w:b/>
          <w:szCs w:val="22"/>
        </w:rPr>
      </w:pPr>
      <w:r>
        <w:rPr>
          <w:b/>
          <w:szCs w:val="22"/>
        </w:rPr>
        <w:t>III.</w:t>
      </w:r>
      <w:r>
        <w:rPr>
          <w:b/>
          <w:szCs w:val="22"/>
        </w:rPr>
        <w:tab/>
        <w:t>DISCUSSION</w:t>
      </w:r>
    </w:p>
    <w:p w:rsidR="00855DEC" w:rsidRDefault="00855DEC" w:rsidP="003B468D">
      <w:pPr>
        <w:tabs>
          <w:tab w:val="left" w:pos="720"/>
        </w:tabs>
        <w:ind w:left="1440"/>
        <w:rPr>
          <w:szCs w:val="22"/>
        </w:rPr>
      </w:pPr>
    </w:p>
    <w:p w:rsidR="00855DEC" w:rsidRDefault="00855DEC" w:rsidP="00E22A9A">
      <w:pPr>
        <w:numPr>
          <w:ilvl w:val="0"/>
          <w:numId w:val="13"/>
        </w:numPr>
        <w:tabs>
          <w:tab w:val="clear" w:pos="720"/>
          <w:tab w:val="num" w:pos="1440"/>
        </w:tabs>
        <w:ind w:left="0" w:firstLine="720"/>
        <w:rPr>
          <w:b/>
          <w:szCs w:val="22"/>
        </w:rPr>
      </w:pPr>
      <w:r>
        <w:rPr>
          <w:szCs w:val="22"/>
        </w:rPr>
        <w:t xml:space="preserve">Our review shows that, </w:t>
      </w:r>
      <w:r>
        <w:rPr>
          <w:spacing w:val="-2"/>
          <w:szCs w:val="22"/>
        </w:rPr>
        <w:t>during the reporting period at issue (</w:t>
      </w:r>
      <w:r>
        <w:t>August 1, 2009, through July 31, 2011</w:t>
      </w:r>
      <w:r>
        <w:rPr>
          <w:spacing w:val="-2"/>
          <w:szCs w:val="22"/>
        </w:rPr>
        <w:t xml:space="preserve">), </w:t>
      </w:r>
      <w:r>
        <w:rPr>
          <w:szCs w:val="22"/>
        </w:rPr>
        <w:t>the Licensee filled 36 full-time vacancies at its Stations and</w:t>
      </w:r>
      <w:r>
        <w:t xml:space="preserve"> failed to provide notification of 33 of its vacancies to all organizations that had requested vacancy notification, as required by Section 73.2080(c)(1)(ii).</w:t>
      </w:r>
      <w:r>
        <w:rPr>
          <w:spacing w:val="-2"/>
        </w:rPr>
        <w:t xml:space="preserve"> </w:t>
      </w:r>
      <w:r w:rsidR="008475CC">
        <w:rPr>
          <w:spacing w:val="-2"/>
        </w:rPr>
        <w:t xml:space="preserve">  For one vacancy, the </w:t>
      </w:r>
      <w:r w:rsidR="0078242A">
        <w:rPr>
          <w:spacing w:val="-2"/>
        </w:rPr>
        <w:t>L</w:t>
      </w:r>
      <w:r w:rsidR="008475CC">
        <w:rPr>
          <w:spacing w:val="-2"/>
        </w:rPr>
        <w:t xml:space="preserve">icensee failed to provide notification to three organizations that requested vacancy notification.  </w:t>
      </w:r>
      <w:r>
        <w:rPr>
          <w:spacing w:val="-2"/>
        </w:rPr>
        <w:t xml:space="preserve"> For two vacancies, the Licensee failed to provide </w:t>
      </w:r>
      <w:r w:rsidRPr="007D2A36">
        <w:rPr>
          <w:szCs w:val="22"/>
        </w:rPr>
        <w:t>notification</w:t>
      </w:r>
      <w:r>
        <w:rPr>
          <w:spacing w:val="-2"/>
        </w:rPr>
        <w:t xml:space="preserve"> to 20 organizations that had requested vacancy notification.  </w:t>
      </w:r>
      <w:r w:rsidR="008475CC">
        <w:rPr>
          <w:spacing w:val="-2"/>
        </w:rPr>
        <w:t xml:space="preserve">For two vacancies, the </w:t>
      </w:r>
      <w:r w:rsidR="0078242A">
        <w:rPr>
          <w:spacing w:val="-2"/>
        </w:rPr>
        <w:t>L</w:t>
      </w:r>
      <w:r w:rsidR="008475CC">
        <w:rPr>
          <w:spacing w:val="-2"/>
        </w:rPr>
        <w:t>icensee failed to provide notification to six organizations that requested vacancy notifica</w:t>
      </w:r>
      <w:r w:rsidR="0078242A">
        <w:rPr>
          <w:spacing w:val="-2"/>
        </w:rPr>
        <w:t>tion.  For four vacancies, the L</w:t>
      </w:r>
      <w:r w:rsidR="008475CC">
        <w:rPr>
          <w:spacing w:val="-2"/>
        </w:rPr>
        <w:t xml:space="preserve">icensee failed to provide notification to two organizations that requested vacancy notification.  For </w:t>
      </w:r>
      <w:r w:rsidR="0078242A">
        <w:rPr>
          <w:spacing w:val="-2"/>
        </w:rPr>
        <w:t>six vacancies, the L</w:t>
      </w:r>
      <w:r w:rsidR="008475CC">
        <w:rPr>
          <w:spacing w:val="-2"/>
        </w:rPr>
        <w:t xml:space="preserve">icensee failed to provide notification to four organizations that requested vacancy notification.  </w:t>
      </w:r>
      <w:r>
        <w:rPr>
          <w:spacing w:val="-2"/>
        </w:rPr>
        <w:t xml:space="preserve">For 18 vacancies, the Licensee failed to provide notification to 21 organizations that had requested vacancy notification.  </w:t>
      </w:r>
      <w:r w:rsidR="008475CC">
        <w:rPr>
          <w:spacing w:val="-2"/>
        </w:rPr>
        <w:t xml:space="preserve">  </w:t>
      </w:r>
    </w:p>
    <w:p w:rsidR="00855DEC" w:rsidRDefault="00855DEC">
      <w:pPr>
        <w:tabs>
          <w:tab w:val="left" w:pos="720"/>
          <w:tab w:val="left" w:pos="1440"/>
        </w:tabs>
        <w:rPr>
          <w:b/>
          <w:szCs w:val="22"/>
        </w:rPr>
      </w:pPr>
    </w:p>
    <w:p w:rsidR="00855DEC" w:rsidRDefault="00A4669C" w:rsidP="007D2A36">
      <w:pPr>
        <w:numPr>
          <w:ilvl w:val="0"/>
          <w:numId w:val="13"/>
        </w:numPr>
        <w:tabs>
          <w:tab w:val="clear" w:pos="720"/>
          <w:tab w:val="num" w:pos="1440"/>
        </w:tabs>
        <w:ind w:left="0" w:firstLine="720"/>
      </w:pPr>
      <w:r>
        <w:t>In addition, t</w:t>
      </w:r>
      <w:r w:rsidR="00855DEC">
        <w:t xml:space="preserve">he Licensee violated our recruitment requirements repeatedly over a two-year reporting period.  We thus find that the Licensee also failed adequately to “analyze the recruitment program for the licensee's unit on an ongoing basis to ensure that it is effective in </w:t>
      </w:r>
      <w:r w:rsidR="00855DEC" w:rsidRPr="007D2A36">
        <w:rPr>
          <w:spacing w:val="-2"/>
        </w:rPr>
        <w:t>achieving</w:t>
      </w:r>
      <w:r w:rsidR="00855DEC">
        <w:t xml:space="preserve"> broad outreach to potential applicants, and address any problems found as a result of its analysis,” in violation of Section 73.2080(c)(3).</w:t>
      </w:r>
    </w:p>
    <w:p w:rsidR="00855DEC" w:rsidRDefault="00855DEC">
      <w:pPr>
        <w:tabs>
          <w:tab w:val="left" w:pos="1440"/>
        </w:tabs>
        <w:ind w:firstLine="720"/>
        <w:rPr>
          <w:color w:val="000000"/>
          <w:szCs w:val="22"/>
        </w:rPr>
      </w:pPr>
    </w:p>
    <w:p w:rsidR="00855DEC" w:rsidRDefault="00855DEC" w:rsidP="00E22A9A">
      <w:pPr>
        <w:numPr>
          <w:ilvl w:val="0"/>
          <w:numId w:val="13"/>
        </w:numPr>
        <w:tabs>
          <w:tab w:val="clear" w:pos="720"/>
          <w:tab w:val="num" w:pos="1440"/>
        </w:tabs>
        <w:ind w:left="0" w:firstLine="720"/>
        <w:rPr>
          <w:szCs w:val="22"/>
        </w:rPr>
      </w:pPr>
      <w:r>
        <w:rPr>
          <w:szCs w:val="22"/>
        </w:rPr>
        <w:t xml:space="preserve">This </w:t>
      </w:r>
      <w:r>
        <w:rPr>
          <w:i/>
          <w:szCs w:val="22"/>
        </w:rPr>
        <w:t>NAL</w:t>
      </w:r>
      <w:r>
        <w:rPr>
          <w:szCs w:val="22"/>
        </w:rPr>
        <w:t xml:space="preserve"> is issued pursuant to Section 503(b)(1)(B) of the </w:t>
      </w:r>
      <w:r>
        <w:t>Communications Act of 1934, as amended (the “Act”)</w:t>
      </w:r>
      <w:r>
        <w:rPr>
          <w:szCs w:val="22"/>
        </w:rPr>
        <w:t>.</w:t>
      </w:r>
      <w:r>
        <w:rPr>
          <w:rStyle w:val="FootnoteReference"/>
          <w:szCs w:val="22"/>
        </w:rPr>
        <w:t xml:space="preserve"> </w:t>
      </w:r>
      <w:r>
        <w:rPr>
          <w:rStyle w:val="FootnoteReference"/>
          <w:szCs w:val="22"/>
        </w:rPr>
        <w:footnoteReference w:id="5"/>
      </w:r>
      <w:r>
        <w:rPr>
          <w:szCs w:val="22"/>
        </w:rPr>
        <w:t xml:space="preserve">  Under that provision, any </w:t>
      </w:r>
      <w:r w:rsidRPr="007D2A36">
        <w:t>person</w:t>
      </w:r>
      <w:r>
        <w:rPr>
          <w:szCs w:val="22"/>
        </w:rPr>
        <w:t xml:space="preserve"> who is determined by the Commission to have willfully or repeatedly failed to comply with any provision of the Act or any rule, regulation, or order issued by the Commission shall be liable to the </w:t>
      </w:r>
      <w:smartTag w:uri="urn:schemas-microsoft-com:office:smarttags" w:element="country-region">
        <w:smartTag w:uri="urn:schemas-microsoft-com:office:smarttags" w:element="place">
          <w:r>
            <w:rPr>
              <w:szCs w:val="22"/>
            </w:rPr>
            <w:t>United States</w:t>
          </w:r>
        </w:smartTag>
      </w:smartTag>
      <w:r>
        <w:rPr>
          <w:szCs w:val="22"/>
        </w:rPr>
        <w:t xml:space="preserve"> for a forfeiture penalty.</w:t>
      </w:r>
      <w:r>
        <w:rPr>
          <w:rStyle w:val="FootnoteReference"/>
          <w:szCs w:val="22"/>
        </w:rPr>
        <w:footnoteReference w:id="6"/>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7"/>
      </w:r>
      <w:r>
        <w:rPr>
          <w:szCs w:val="22"/>
        </w:rPr>
        <w:t xml:space="preserve">  The legislative history of Section 312(f)(1) of the Act clarifies that this definition of willful applies to both Sections 312 and 503(b) of the Act,</w:t>
      </w:r>
      <w:r>
        <w:rPr>
          <w:rStyle w:val="FootnoteReference"/>
          <w:szCs w:val="22"/>
        </w:rPr>
        <w:footnoteReference w:id="8"/>
      </w:r>
      <w:r>
        <w:rPr>
          <w:szCs w:val="22"/>
        </w:rPr>
        <w:t xml:space="preserve"> and the </w:t>
      </w:r>
      <w:r>
        <w:rPr>
          <w:szCs w:val="22"/>
        </w:rPr>
        <w:lastRenderedPageBreak/>
        <w:t>Commission has so interpreted the term in the Section 503(b) context.</w:t>
      </w:r>
      <w:r>
        <w:rPr>
          <w:rStyle w:val="FootnoteReference"/>
          <w:szCs w:val="22"/>
        </w:rPr>
        <w:footnoteReference w:id="9"/>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0"/>
      </w:r>
      <w:r>
        <w:rPr>
          <w:szCs w:val="22"/>
        </w:rPr>
        <w:t xml:space="preserve"> </w:t>
      </w:r>
    </w:p>
    <w:p w:rsidR="00855DEC" w:rsidRDefault="00855DEC" w:rsidP="007D2A36">
      <w:pPr>
        <w:rPr>
          <w:szCs w:val="22"/>
        </w:rPr>
      </w:pPr>
    </w:p>
    <w:p w:rsidR="00855DEC" w:rsidRDefault="00855DEC" w:rsidP="007D2A36">
      <w:pPr>
        <w:numPr>
          <w:ilvl w:val="0"/>
          <w:numId w:val="13"/>
        </w:numPr>
        <w:tabs>
          <w:tab w:val="clear" w:pos="720"/>
          <w:tab w:val="num" w:pos="1440"/>
        </w:tabs>
        <w:ind w:left="0" w:firstLine="720"/>
        <w:rPr>
          <w:szCs w:val="22"/>
        </w:rPr>
      </w:pPr>
      <w:r>
        <w:t>The</w:t>
      </w:r>
      <w:r>
        <w:rPr>
          <w:i/>
        </w:rPr>
        <w:t xml:space="preserve"> </w:t>
      </w:r>
      <w:r>
        <w:t>Commission’s</w:t>
      </w:r>
      <w:r>
        <w:rPr>
          <w:i/>
        </w:rPr>
        <w:t xml:space="preserve"> Forfeiture </w:t>
      </w:r>
      <w:r w:rsidRPr="007D2A36">
        <w:rPr>
          <w:szCs w:val="22"/>
        </w:rPr>
        <w:t>Policy</w:t>
      </w:r>
      <w:r>
        <w:rPr>
          <w:i/>
        </w:rPr>
        <w:t xml:space="preserve"> Statement</w:t>
      </w:r>
      <w:r>
        <w:t xml:space="preserve"> and Section 1.80(b)(4) of the Rules do not establish base forfeiture amounts for specific EEO rule violations, such as a failure to notify organizations of job vacancies or to self-assess EEO performance.  Accordingly, we must look to pertinent precedent involving similar violations to determine the appropriate proposed forfeiture amount here.  In determining the appropriate forfeiture amount, we may adjust the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1"/>
      </w:r>
      <w:r>
        <w:t xml:space="preserve">  </w:t>
      </w:r>
    </w:p>
    <w:p w:rsidR="00855DEC" w:rsidRDefault="00855DEC">
      <w:pPr>
        <w:tabs>
          <w:tab w:val="left" w:pos="720"/>
          <w:tab w:val="left" w:pos="1440"/>
        </w:tabs>
      </w:pPr>
    </w:p>
    <w:p w:rsidR="00855DEC" w:rsidRDefault="00855DEC" w:rsidP="007D2A36">
      <w:pPr>
        <w:numPr>
          <w:ilvl w:val="0"/>
          <w:numId w:val="13"/>
        </w:numPr>
        <w:tabs>
          <w:tab w:val="clear" w:pos="720"/>
          <w:tab w:val="num" w:pos="1440"/>
        </w:tabs>
        <w:ind w:left="0" w:firstLine="720"/>
        <w:rPr>
          <w:szCs w:val="22"/>
        </w:rPr>
      </w:pPr>
      <w:r>
        <w:t xml:space="preserve">As discussed </w:t>
      </w:r>
      <w:r>
        <w:rPr>
          <w:i/>
        </w:rPr>
        <w:t>supra</w:t>
      </w:r>
      <w:r>
        <w:t xml:space="preserve">, the Licensee failed to provide notification of each full-time vacancy to organizations requesting vacancy notification in violation of Section 73.2080(c)(1)(ii).  </w:t>
      </w:r>
      <w:r>
        <w:rPr>
          <w:szCs w:val="22"/>
        </w:rPr>
        <w:t xml:space="preserve">This failure reveals a continuing lack of self-assessment, in violation of Section 73.2080(c)(3).  </w:t>
      </w:r>
      <w:r>
        <w:t>Accordingly, based upon the facts before us, the factors noted above, and pertinent precedent,</w:t>
      </w:r>
      <w:r>
        <w:rPr>
          <w:rStyle w:val="FootnoteReference"/>
          <w:szCs w:val="22"/>
        </w:rPr>
        <w:footnoteReference w:id="12"/>
      </w:r>
      <w:r>
        <w:t> we propose the following forfeiture amounts for the Licensee’s apparent willful and repeated violations of these Rules:  $</w:t>
      </w:r>
      <w:r w:rsidR="00C23C1A">
        <w:t>16</w:t>
      </w:r>
      <w:r>
        <w:t>,000 for its violation of Section 73.2080(c)(1)(ii) and $4,000 for its violation of Section 73.2080(c)(3), for a total proposed forfeiture in the amount of $</w:t>
      </w:r>
      <w:r w:rsidR="00C23C1A">
        <w:t>20</w:t>
      </w:r>
      <w:r>
        <w:t>,000.</w:t>
      </w:r>
      <w:r>
        <w:rPr>
          <w:rStyle w:val="FootnoteReference"/>
        </w:rPr>
        <w:footnoteReference w:id="13"/>
      </w:r>
      <w:r>
        <w:t xml:space="preserve">  </w:t>
      </w:r>
      <w:r>
        <w:rPr>
          <w:szCs w:val="22"/>
        </w:rPr>
        <w:t xml:space="preserve">We will also impose reporting conditions as set forth below, to ensure that the Licensee and any successor licensee of any of the Stations maintains an adequate EEO program in compliance with the Rules.  The reporting conditions will apply to the above-captioned Stations, and to all other stations that are part of their employment unit in the future, if any.  </w:t>
      </w:r>
    </w:p>
    <w:p w:rsidR="00855DEC" w:rsidRPr="00F57939" w:rsidRDefault="00855DEC" w:rsidP="00F57939">
      <w:pPr>
        <w:tabs>
          <w:tab w:val="left" w:pos="1440"/>
        </w:tabs>
        <w:rPr>
          <w:b/>
        </w:rPr>
      </w:pPr>
    </w:p>
    <w:p w:rsidR="00855DEC" w:rsidRDefault="00855DEC">
      <w:pPr>
        <w:tabs>
          <w:tab w:val="left" w:pos="1440"/>
        </w:tabs>
        <w:rPr>
          <w:b/>
          <w:szCs w:val="22"/>
        </w:rPr>
      </w:pPr>
      <w:r>
        <w:rPr>
          <w:b/>
          <w:szCs w:val="22"/>
        </w:rPr>
        <w:t>IV.     ORDERING CLAUSES</w:t>
      </w:r>
    </w:p>
    <w:p w:rsidR="00855DEC" w:rsidRDefault="00855DEC">
      <w:pPr>
        <w:tabs>
          <w:tab w:val="left" w:pos="1440"/>
        </w:tabs>
        <w:ind w:firstLine="720"/>
        <w:rPr>
          <w:szCs w:val="22"/>
        </w:rPr>
      </w:pPr>
    </w:p>
    <w:p w:rsidR="00855DEC" w:rsidRDefault="00855DEC" w:rsidP="007D2A36">
      <w:pPr>
        <w:numPr>
          <w:ilvl w:val="0"/>
          <w:numId w:val="13"/>
        </w:numPr>
        <w:tabs>
          <w:tab w:val="clear" w:pos="720"/>
          <w:tab w:val="num" w:pos="1440"/>
        </w:tabs>
        <w:ind w:left="0" w:firstLine="720"/>
        <w:rPr>
          <w:szCs w:val="22"/>
        </w:rPr>
      </w:pPr>
      <w:r>
        <w:rPr>
          <w:szCs w:val="22"/>
        </w:rPr>
        <w:t xml:space="preserve">Accordingly, IT IS ORDERED, pursuant to Section 503(b) of the Communications Act of 1934, as amended, and Sections 0.283 and 1.80 of the Commission’s Rules, that </w:t>
      </w:r>
      <w:r>
        <w:t xml:space="preserve">AMFM Broadcasting Licenses, LLC </w:t>
      </w:r>
      <w:r>
        <w:rPr>
          <w:szCs w:val="22"/>
        </w:rPr>
        <w:t xml:space="preserve">is hereby NOTIFIED of its APPARENT LIABILITY FOR FORFEITURE in the amount of </w:t>
      </w:r>
      <w:r w:rsidR="00C23C1A">
        <w:rPr>
          <w:szCs w:val="22"/>
        </w:rPr>
        <w:t>twenty</w:t>
      </w:r>
      <w:r>
        <w:rPr>
          <w:szCs w:val="22"/>
        </w:rPr>
        <w:t xml:space="preserve"> thousand dollars ($</w:t>
      </w:r>
      <w:r w:rsidR="00C23C1A">
        <w:rPr>
          <w:szCs w:val="22"/>
        </w:rPr>
        <w:t>20</w:t>
      </w:r>
      <w:r>
        <w:rPr>
          <w:szCs w:val="22"/>
        </w:rPr>
        <w:t xml:space="preserve">,000) for its apparent willful and repeated violation of Sections 73.2080(c)(1)(ii) and 73.2080(c)(3) of the Commission’s Rules. </w:t>
      </w:r>
    </w:p>
    <w:p w:rsidR="00855DEC" w:rsidRDefault="00855DEC">
      <w:pPr>
        <w:ind w:right="-18"/>
        <w:rPr>
          <w:szCs w:val="22"/>
        </w:rPr>
      </w:pPr>
    </w:p>
    <w:p w:rsidR="00855DEC" w:rsidRDefault="00855DEC" w:rsidP="007D2A36">
      <w:pPr>
        <w:numPr>
          <w:ilvl w:val="0"/>
          <w:numId w:val="13"/>
        </w:numPr>
        <w:tabs>
          <w:tab w:val="clear" w:pos="720"/>
          <w:tab w:val="num" w:pos="1440"/>
        </w:tabs>
        <w:ind w:left="0" w:firstLine="720"/>
        <w:rPr>
          <w:szCs w:val="22"/>
        </w:rPr>
      </w:pPr>
      <w:r>
        <w:rPr>
          <w:szCs w:val="22"/>
        </w:rPr>
        <w:t xml:space="preserve">IT IS FURTHER ORDERED, pursuant to Section 1.80 of the Commission’s Rules, that, within thirty (30) days of the release of this </w:t>
      </w:r>
      <w:r>
        <w:rPr>
          <w:i/>
          <w:szCs w:val="22"/>
        </w:rPr>
        <w:t>NAL</w:t>
      </w:r>
      <w:r>
        <w:rPr>
          <w:szCs w:val="22"/>
        </w:rPr>
        <w:t xml:space="preserve">, </w:t>
      </w:r>
      <w:r>
        <w:t xml:space="preserve">AMFM Broadcasting Licenses, LLC, </w:t>
      </w:r>
      <w:r>
        <w:rPr>
          <w:szCs w:val="22"/>
        </w:rPr>
        <w:t xml:space="preserve">SHALL PAY the full amount of the proposed forfeiture or SHALL FILE a written statement seeking reduction or cancellation of the proposed forfeiture.  </w:t>
      </w:r>
    </w:p>
    <w:p w:rsidR="00855DEC" w:rsidRDefault="00855DEC">
      <w:pPr>
        <w:ind w:right="-18"/>
        <w:rPr>
          <w:szCs w:val="22"/>
        </w:rPr>
      </w:pPr>
    </w:p>
    <w:p w:rsidR="00855DEC" w:rsidRDefault="00855DEC" w:rsidP="00E22A9A">
      <w:pPr>
        <w:numPr>
          <w:ilvl w:val="0"/>
          <w:numId w:val="13"/>
        </w:numPr>
        <w:tabs>
          <w:tab w:val="clear" w:pos="720"/>
          <w:tab w:val="num" w:pos="1440"/>
        </w:tabs>
        <w:ind w:left="0" w:firstLine="720"/>
      </w:pPr>
      <w:r>
        <w:t xml:space="preserve">Payment of the forfeiture must be made by check or similar instrument, payable to the order of the Federal Communications Commission.  The payment must include the NAL/Account Number and FRN Number referenced above.  Payment by check or money order may be mailed to Federal Communications Commission,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 979088</w:t>
              </w:r>
            </w:smartTag>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smartTag>
      <w:r>
        <w:t>.  Payment by overnight mail may be sent to U.S. Bank – Government Lockbox #979088, SL-MO-C2-GL, 1005 Convention Plaza, St. Louis, MO 63101.  Payment by wire transfer may be made to ABA Number 021030004, receiving bank TREAS/NYC, and account number 27000001.  For payment by credit card, 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  Please contact the Financial Operations Group Help Desk at 1-877-480-3201 or Email:  ARINQUIRIES@fcc.gov with any questions regarding payment procedures.</w:t>
      </w:r>
    </w:p>
    <w:p w:rsidR="00855DEC" w:rsidRDefault="00855DEC" w:rsidP="00E22A9A"/>
    <w:p w:rsidR="00855DEC" w:rsidRDefault="00855DEC" w:rsidP="007D2A36">
      <w:pPr>
        <w:numPr>
          <w:ilvl w:val="0"/>
          <w:numId w:val="13"/>
        </w:numPr>
        <w:tabs>
          <w:tab w:val="clear" w:pos="720"/>
          <w:tab w:val="num" w:pos="1440"/>
        </w:tabs>
        <w:ind w:left="0" w:firstLine="720"/>
        <w:rPr>
          <w:szCs w:val="22"/>
        </w:rPr>
      </w:pPr>
      <w:r>
        <w:rPr>
          <w:szCs w:val="22"/>
        </w:rPr>
        <w:t>The response, if any, must be mailed to Office of the Secretary, Federal Communications Commission, 445 12</w:t>
      </w:r>
      <w:r>
        <w:rPr>
          <w:szCs w:val="22"/>
          <w:vertAlign w:val="superscript"/>
        </w:rPr>
        <w:t>th</w:t>
      </w:r>
      <w:r>
        <w:rPr>
          <w:szCs w:val="22"/>
        </w:rPr>
        <w:t xml:space="preserve"> Street, S.W., Washington D.C. 20554, ATTN:  Lewis Pulley, Assistant Chief, Policy Division, Media Bureau, and MUST INCLUDE the NAL/Acct. No. referenced above.</w:t>
      </w:r>
    </w:p>
    <w:p w:rsidR="00855DEC" w:rsidRDefault="00855DEC" w:rsidP="007D2A36">
      <w:pPr>
        <w:rPr>
          <w:szCs w:val="22"/>
        </w:rPr>
      </w:pPr>
    </w:p>
    <w:p w:rsidR="00855DEC" w:rsidRDefault="00855DEC" w:rsidP="007D2A36">
      <w:pPr>
        <w:numPr>
          <w:ilvl w:val="0"/>
          <w:numId w:val="13"/>
        </w:numPr>
        <w:tabs>
          <w:tab w:val="clear" w:pos="720"/>
          <w:tab w:val="num" w:pos="1440"/>
        </w:tabs>
        <w:ind w:left="0" w:firstLine="720"/>
        <w:rPr>
          <w:szCs w:val="22"/>
        </w:rPr>
      </w:pPr>
      <w:r>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855DEC" w:rsidRDefault="00855DEC" w:rsidP="007D2A36">
      <w:pPr>
        <w:rPr>
          <w:szCs w:val="22"/>
        </w:rPr>
      </w:pPr>
    </w:p>
    <w:p w:rsidR="00855DEC" w:rsidRDefault="00855DEC" w:rsidP="007D2A36">
      <w:pPr>
        <w:numPr>
          <w:ilvl w:val="0"/>
          <w:numId w:val="13"/>
        </w:numPr>
        <w:tabs>
          <w:tab w:val="clear" w:pos="720"/>
          <w:tab w:val="num" w:pos="1440"/>
        </w:tabs>
        <w:ind w:left="0" w:firstLine="720"/>
        <w:rPr>
          <w:szCs w:val="22"/>
        </w:rPr>
      </w:pPr>
      <w:r>
        <w:rPr>
          <w:szCs w:val="22"/>
        </w:rPr>
        <w:t xml:space="preserve">IT IS FURTHER ORDERED that </w:t>
      </w:r>
      <w:r>
        <w:t xml:space="preserve">AMFM Broadcasting Licenses, LLC </w:t>
      </w:r>
      <w:r>
        <w:rPr>
          <w:szCs w:val="22"/>
        </w:rPr>
        <w:t xml:space="preserve">and any successor licensee of any or all of </w:t>
      </w:r>
      <w:bookmarkStart w:id="1" w:name="OLE_LINK1"/>
      <w:r>
        <w:rPr>
          <w:szCs w:val="22"/>
        </w:rPr>
        <w:t xml:space="preserve">Stations </w:t>
      </w:r>
      <w:bookmarkEnd w:id="1"/>
      <w:r>
        <w:rPr>
          <w:szCs w:val="22"/>
        </w:rPr>
        <w:t xml:space="preserve">WNUA(FM), WGCI-FM, </w:t>
      </w:r>
      <w:r w:rsidRPr="00A94EF0">
        <w:rPr>
          <w:szCs w:val="22"/>
        </w:rPr>
        <w:t xml:space="preserve">WKSC-FM, WGRB(AM), WLIT-FM, </w:t>
      </w:r>
      <w:r>
        <w:rPr>
          <w:szCs w:val="22"/>
        </w:rPr>
        <w:t xml:space="preserve">and </w:t>
      </w:r>
      <w:r w:rsidRPr="00A94EF0">
        <w:rPr>
          <w:szCs w:val="22"/>
        </w:rPr>
        <w:t xml:space="preserve">WVAZ(FM), </w:t>
      </w:r>
      <w:r>
        <w:rPr>
          <w:szCs w:val="22"/>
        </w:rPr>
        <w:t xml:space="preserve">SHALL SUBMIT to the Federal Communications Commission, Media Bureau, EEO Staff, an original and one copy of a filing, sworn to by an officer of AMFM Broadcasting Licenses, LLC, containing the following </w:t>
      </w:r>
      <w:r w:rsidR="00877020">
        <w:rPr>
          <w:szCs w:val="22"/>
        </w:rPr>
        <w:t xml:space="preserve">information on September </w:t>
      </w:r>
      <w:r w:rsidR="00987DA4">
        <w:rPr>
          <w:szCs w:val="22"/>
        </w:rPr>
        <w:t>2</w:t>
      </w:r>
      <w:r w:rsidR="00877020">
        <w:rPr>
          <w:szCs w:val="22"/>
        </w:rPr>
        <w:t>, 2014</w:t>
      </w:r>
      <w:r w:rsidR="0082307C">
        <w:rPr>
          <w:szCs w:val="22"/>
        </w:rPr>
        <w:t xml:space="preserve">; September </w:t>
      </w:r>
      <w:r w:rsidR="00987DA4">
        <w:rPr>
          <w:szCs w:val="22"/>
        </w:rPr>
        <w:t>1</w:t>
      </w:r>
      <w:r w:rsidR="00877020">
        <w:rPr>
          <w:szCs w:val="22"/>
        </w:rPr>
        <w:t>, 2015</w:t>
      </w:r>
      <w:r w:rsidR="0082307C">
        <w:rPr>
          <w:szCs w:val="22"/>
        </w:rPr>
        <w:t xml:space="preserve">; and September </w:t>
      </w:r>
      <w:r w:rsidR="00987DA4">
        <w:rPr>
          <w:szCs w:val="22"/>
        </w:rPr>
        <w:t>1</w:t>
      </w:r>
      <w:r w:rsidR="0082307C">
        <w:rPr>
          <w:szCs w:val="22"/>
        </w:rPr>
        <w:t>, 2016</w:t>
      </w:r>
      <w:r>
        <w:rPr>
          <w:szCs w:val="22"/>
        </w:rPr>
        <w:t xml:space="preserve">, with respect to Stations WNUA(FM), WGCI-FM, </w:t>
      </w:r>
      <w:r w:rsidRPr="00A94EF0">
        <w:rPr>
          <w:szCs w:val="22"/>
        </w:rPr>
        <w:t xml:space="preserve">WKSC-FM, WGRB(AM), WLIT-FM, </w:t>
      </w:r>
      <w:r>
        <w:rPr>
          <w:szCs w:val="22"/>
        </w:rPr>
        <w:t xml:space="preserve">and </w:t>
      </w:r>
      <w:r w:rsidRPr="00A94EF0">
        <w:rPr>
          <w:szCs w:val="22"/>
        </w:rPr>
        <w:t xml:space="preserve">WVAZ(FM), </w:t>
      </w:r>
      <w:r>
        <w:rPr>
          <w:szCs w:val="22"/>
        </w:rPr>
        <w:t xml:space="preserve">and all other stations in their employment unit: </w:t>
      </w:r>
    </w:p>
    <w:p w:rsidR="00855DEC" w:rsidRDefault="00855DEC">
      <w:pPr>
        <w:ind w:right="-18"/>
        <w:rPr>
          <w:szCs w:val="22"/>
        </w:rPr>
      </w:pPr>
    </w:p>
    <w:p w:rsidR="00855DEC" w:rsidRDefault="00855DEC">
      <w:pPr>
        <w:rPr>
          <w:szCs w:val="22"/>
        </w:rPr>
      </w:pPr>
      <w:r>
        <w:rPr>
          <w:szCs w:val="22"/>
        </w:rPr>
        <w:tab/>
        <w:t xml:space="preserve">(a)  the unit’s most recent EEO public file report; </w:t>
      </w:r>
    </w:p>
    <w:p w:rsidR="00855DEC" w:rsidRDefault="00855DEC">
      <w:pPr>
        <w:suppressAutoHyphens/>
        <w:spacing w:line="240" w:lineRule="atLeast"/>
        <w:rPr>
          <w:szCs w:val="22"/>
        </w:rPr>
      </w:pPr>
    </w:p>
    <w:p w:rsidR="00855DEC" w:rsidRDefault="00855DEC">
      <w:pPr>
        <w:rPr>
          <w:szCs w:val="22"/>
        </w:rPr>
      </w:pPr>
      <w:r>
        <w:rPr>
          <w:szCs w:val="22"/>
        </w:rPr>
        <w:tab/>
        <w:t xml:space="preserve">(b)  dated copies of all advertisements, bulletins, letters, faxes, e-mails, or other communications announcing each full-time vacancy for the preceding reporting year;  </w:t>
      </w:r>
    </w:p>
    <w:p w:rsidR="00855DEC" w:rsidRDefault="00855DEC">
      <w:pPr>
        <w:rPr>
          <w:szCs w:val="22"/>
        </w:rPr>
      </w:pPr>
    </w:p>
    <w:p w:rsidR="00855DEC" w:rsidRDefault="00855DEC">
      <w:pPr>
        <w:ind w:firstLine="720"/>
        <w:rPr>
          <w:szCs w:val="22"/>
        </w:rPr>
      </w:pPr>
      <w:r>
        <w:rPr>
          <w:szCs w:val="22"/>
        </w:rPr>
        <w:t xml:space="preserve">(c)  the recruitment source that referred the hiree for each full-time vacancy and the job title of each full-time vacancy; </w:t>
      </w:r>
    </w:p>
    <w:p w:rsidR="00855DEC" w:rsidRDefault="00855DEC">
      <w:pPr>
        <w:rPr>
          <w:szCs w:val="22"/>
        </w:rPr>
      </w:pPr>
    </w:p>
    <w:p w:rsidR="00855DEC" w:rsidRDefault="00855DEC" w:rsidP="00701412">
      <w:pPr>
        <w:numPr>
          <w:ilvl w:val="2"/>
          <w:numId w:val="6"/>
        </w:numPr>
        <w:tabs>
          <w:tab w:val="clear" w:pos="2775"/>
          <w:tab w:val="num" w:pos="1080"/>
        </w:tabs>
        <w:ind w:left="1080" w:hanging="360"/>
      </w:pPr>
      <w:r>
        <w:t xml:space="preserve">the total number of interviewees for each full-time vacancy for the preceding reporting year and the referral source for each interviewee; </w:t>
      </w:r>
    </w:p>
    <w:p w:rsidR="00855DEC" w:rsidRDefault="00855DEC" w:rsidP="009B0024">
      <w:pPr>
        <w:ind w:left="2400"/>
      </w:pPr>
    </w:p>
    <w:p w:rsidR="00855DEC" w:rsidRDefault="00855DEC" w:rsidP="00701412">
      <w:pPr>
        <w:numPr>
          <w:ilvl w:val="2"/>
          <w:numId w:val="6"/>
        </w:numPr>
        <w:tabs>
          <w:tab w:val="clear" w:pos="2775"/>
          <w:tab w:val="num" w:pos="1080"/>
        </w:tabs>
        <w:ind w:left="1080" w:hanging="360"/>
      </w:pPr>
      <w:r>
        <w:t>a list of all sources that requested job notifications from the employment unit for jobs posted during the reporting periods listed above;</w:t>
      </w:r>
    </w:p>
    <w:p w:rsidR="00855DEC" w:rsidRDefault="00855DEC" w:rsidP="009B0024">
      <w:pPr>
        <w:ind w:left="2400"/>
      </w:pPr>
    </w:p>
    <w:p w:rsidR="00855DEC" w:rsidRDefault="00855DEC" w:rsidP="00701412">
      <w:pPr>
        <w:numPr>
          <w:ilvl w:val="2"/>
          <w:numId w:val="6"/>
        </w:numPr>
        <w:tabs>
          <w:tab w:val="clear" w:pos="2775"/>
          <w:tab w:val="num" w:pos="1080"/>
        </w:tabs>
        <w:ind w:hanging="2055"/>
      </w:pPr>
      <w:r>
        <w:t>a list of all sources notified of job openings during the reporting periods listed above; and</w:t>
      </w:r>
    </w:p>
    <w:p w:rsidR="00855DEC" w:rsidRDefault="00855DEC">
      <w:pPr>
        <w:rPr>
          <w:szCs w:val="22"/>
        </w:rPr>
      </w:pPr>
      <w:r>
        <w:tab/>
      </w:r>
    </w:p>
    <w:p w:rsidR="00855DEC" w:rsidRDefault="00855DEC" w:rsidP="007D2A36">
      <w:pPr>
        <w:rPr>
          <w:szCs w:val="22"/>
        </w:rPr>
      </w:pPr>
      <w:r>
        <w:rPr>
          <w:szCs w:val="22"/>
        </w:rPr>
        <w:t xml:space="preserve">IT IS FURTHER ORDERED that, pursuant to Section 73.3526(e)(10) of the Commission’s Rules, </w:t>
      </w:r>
      <w:r>
        <w:t xml:space="preserve">AMFM Broadcasting Licenses, LLC </w:t>
      </w:r>
      <w:r>
        <w:rPr>
          <w:szCs w:val="22"/>
        </w:rPr>
        <w:t xml:space="preserve">shall place a copy of this </w:t>
      </w:r>
      <w:r>
        <w:rPr>
          <w:i/>
          <w:szCs w:val="22"/>
        </w:rPr>
        <w:t>NAL</w:t>
      </w:r>
      <w:r>
        <w:rPr>
          <w:szCs w:val="22"/>
        </w:rPr>
        <w:t xml:space="preserve"> in the public inspection files of Stations WNUA(FM), WGCI-FM, </w:t>
      </w:r>
      <w:r w:rsidRPr="00A94EF0">
        <w:rPr>
          <w:szCs w:val="22"/>
        </w:rPr>
        <w:t xml:space="preserve">WKSC-FM, WGRB(AM), WLIT-FM, </w:t>
      </w:r>
      <w:r>
        <w:rPr>
          <w:szCs w:val="22"/>
        </w:rPr>
        <w:t xml:space="preserve">and </w:t>
      </w:r>
      <w:r w:rsidRPr="00A94EF0">
        <w:rPr>
          <w:szCs w:val="22"/>
        </w:rPr>
        <w:t>W</w:t>
      </w:r>
      <w:r>
        <w:rPr>
          <w:szCs w:val="22"/>
        </w:rPr>
        <w:t>VAZ(FM</w:t>
      </w:r>
      <w:r w:rsidR="00714999">
        <w:rPr>
          <w:szCs w:val="22"/>
        </w:rPr>
        <w:t>).</w:t>
      </w:r>
    </w:p>
    <w:p w:rsidR="00855DEC" w:rsidRDefault="00855DEC">
      <w:pPr>
        <w:ind w:right="-18"/>
        <w:rPr>
          <w:szCs w:val="22"/>
        </w:rPr>
      </w:pPr>
    </w:p>
    <w:p w:rsidR="00855DEC" w:rsidRDefault="00855DEC">
      <w:pPr>
        <w:ind w:right="-18"/>
        <w:rPr>
          <w:szCs w:val="22"/>
        </w:rPr>
      </w:pPr>
      <w:r>
        <w:rPr>
          <w:szCs w:val="22"/>
        </w:rPr>
        <w:tab/>
        <w:t>15.</w:t>
      </w:r>
      <w:r>
        <w:rPr>
          <w:szCs w:val="22"/>
        </w:rPr>
        <w:tab/>
        <w:t xml:space="preserve">IT IS FURTHER ORDERED that copies of this </w:t>
      </w:r>
      <w:r>
        <w:rPr>
          <w:i/>
          <w:szCs w:val="22"/>
        </w:rPr>
        <w:t>NAL</w:t>
      </w:r>
      <w:r>
        <w:rPr>
          <w:szCs w:val="22"/>
        </w:rPr>
        <w:t xml:space="preserve"> shall be sent, by First Class and Certified Mail, Return Receipt Requested, to Earl Jones, Market Manager, </w:t>
      </w:r>
      <w:r>
        <w:t>AMFM Broadcasting Licenses, 2625 South Memorial Drive, Suite A, Tulsa, Oklahoma 74129</w:t>
      </w:r>
      <w:r>
        <w:rPr>
          <w:szCs w:val="22"/>
        </w:rPr>
        <w:t xml:space="preserve"> and to its attorney, Elizabeth Goldin, Esq., Wiley Rein LLP, 1776 K Street, N.W., Washington D.C. 20006.</w:t>
      </w:r>
    </w:p>
    <w:p w:rsidR="00855DEC" w:rsidRDefault="00855DEC">
      <w:pPr>
        <w:ind w:right="-18"/>
        <w:rPr>
          <w:szCs w:val="22"/>
        </w:rPr>
      </w:pPr>
    </w:p>
    <w:p w:rsidR="00855DEC" w:rsidRDefault="00855DEC">
      <w:pPr>
        <w:ind w:right="-18"/>
        <w:rPr>
          <w:szCs w:val="22"/>
        </w:rPr>
      </w:pPr>
    </w:p>
    <w:p w:rsidR="00855DEC" w:rsidRDefault="00855DEC">
      <w:pPr>
        <w:ind w:right="-18" w:firstLine="3690"/>
        <w:rPr>
          <w:b/>
          <w:szCs w:val="22"/>
        </w:rPr>
      </w:pPr>
      <w:r>
        <w:rPr>
          <w:b/>
          <w:szCs w:val="22"/>
        </w:rPr>
        <w:t>FEDERAL COMMUNICATIONS COMMISSION</w:t>
      </w:r>
    </w:p>
    <w:p w:rsidR="00855DEC" w:rsidRDefault="00855DEC">
      <w:pPr>
        <w:ind w:right="-18" w:firstLine="3690"/>
        <w:rPr>
          <w:b/>
          <w:szCs w:val="22"/>
        </w:rPr>
      </w:pPr>
    </w:p>
    <w:p w:rsidR="00855DEC" w:rsidRDefault="00855DEC">
      <w:pPr>
        <w:ind w:right="-18" w:firstLine="3690"/>
        <w:rPr>
          <w:b/>
          <w:szCs w:val="22"/>
        </w:rPr>
      </w:pPr>
    </w:p>
    <w:p w:rsidR="00855DEC" w:rsidRDefault="00855DEC">
      <w:pPr>
        <w:ind w:right="-18" w:firstLine="3690"/>
        <w:jc w:val="both"/>
        <w:rPr>
          <w:szCs w:val="22"/>
        </w:rPr>
      </w:pPr>
      <w:r>
        <w:rPr>
          <w:szCs w:val="22"/>
        </w:rPr>
        <w:t>William T. Lake, Chief</w:t>
      </w:r>
    </w:p>
    <w:p w:rsidR="00855DEC" w:rsidRDefault="00855DEC">
      <w:pPr>
        <w:ind w:left="2880" w:firstLine="720"/>
        <w:rPr>
          <w:b/>
        </w:rPr>
      </w:pPr>
      <w:r>
        <w:rPr>
          <w:szCs w:val="22"/>
        </w:rPr>
        <w:t xml:space="preserve">  Media Bureau</w:t>
      </w:r>
      <w:r>
        <w:t xml:space="preserve"> </w:t>
      </w:r>
    </w:p>
    <w:p w:rsidR="00855DEC" w:rsidRDefault="00855DEC"/>
    <w:sectPr w:rsidR="00855DEC" w:rsidSect="006602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3D" w:rsidRDefault="00725D3D">
      <w:r>
        <w:separator/>
      </w:r>
    </w:p>
  </w:endnote>
  <w:endnote w:type="continuationSeparator" w:id="0">
    <w:p w:rsidR="00725D3D" w:rsidRDefault="00725D3D">
      <w:r>
        <w:continuationSeparator/>
      </w:r>
    </w:p>
  </w:endnote>
  <w:endnote w:type="continuationNotice" w:id="1">
    <w:p w:rsidR="00725D3D" w:rsidRDefault="0072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EC" w:rsidRDefault="00855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DEC" w:rsidRDefault="00855D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EC" w:rsidRDefault="00855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7F2">
      <w:rPr>
        <w:rStyle w:val="PageNumber"/>
        <w:noProof/>
      </w:rPr>
      <w:t>2</w:t>
    </w:r>
    <w:r>
      <w:rPr>
        <w:rStyle w:val="PageNumber"/>
      </w:rPr>
      <w:fldChar w:fldCharType="end"/>
    </w:r>
  </w:p>
  <w:p w:rsidR="00855DEC" w:rsidRDefault="00855DE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9" w:rsidRDefault="0042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3D" w:rsidRDefault="00725D3D">
      <w:r>
        <w:separator/>
      </w:r>
    </w:p>
  </w:footnote>
  <w:footnote w:type="continuationSeparator" w:id="0">
    <w:p w:rsidR="00725D3D" w:rsidRDefault="00725D3D">
      <w:r>
        <w:continuationSeparator/>
      </w:r>
    </w:p>
  </w:footnote>
  <w:footnote w:type="continuationNotice" w:id="1">
    <w:p w:rsidR="00725D3D" w:rsidRDefault="00725D3D"/>
  </w:footnote>
  <w:footnote w:id="2">
    <w:p w:rsidR="00855DEC" w:rsidRDefault="00855DEC">
      <w:pPr>
        <w:pStyle w:val="FootnoteText"/>
        <w:jc w:val="left"/>
      </w:pPr>
      <w:r>
        <w:rPr>
          <w:rStyle w:val="FootnoteReference"/>
        </w:rPr>
        <w:footnoteRef/>
      </w:r>
      <w:r>
        <w:t xml:space="preserve"> </w:t>
      </w:r>
      <w:r>
        <w:rPr>
          <w:i/>
        </w:rPr>
        <w:t xml:space="preserve">See </w:t>
      </w:r>
      <w:r>
        <w:t>47 C.F.R. §§73.2080(c)(1)(ii) and 73.2080(c)(3)</w:t>
      </w:r>
      <w:r>
        <w:rPr>
          <w:szCs w:val="22"/>
        </w:rPr>
        <w:t>.</w:t>
      </w:r>
    </w:p>
  </w:footnote>
  <w:footnote w:id="3">
    <w:p w:rsidR="00855DEC" w:rsidRDefault="00855DEC" w:rsidP="0079035A">
      <w:pPr>
        <w:pStyle w:val="FootnoteText"/>
        <w:jc w:val="left"/>
      </w:pPr>
      <w:r>
        <w:rPr>
          <w:rStyle w:val="FootnoteReference"/>
        </w:rPr>
        <w:footnoteRef/>
      </w:r>
      <w:r>
        <w:t xml:space="preserve"> Letter from Lewis Pulley, Assistant Chief, Policy Division, Media Bureau, to AMFM Broadcasting Licenses, LLC (August 1, 2011).  The audit information reviewed was based on the period August 1, 2009, through July 31, 2011.</w:t>
      </w:r>
    </w:p>
  </w:footnote>
  <w:footnote w:id="4">
    <w:p w:rsidR="00855DEC" w:rsidRDefault="00855DEC" w:rsidP="0054699B">
      <w:pPr>
        <w:pStyle w:val="FootnoteText"/>
        <w:jc w:val="left"/>
      </w:pPr>
      <w:r>
        <w:rPr>
          <w:rStyle w:val="FootnoteReference"/>
        </w:rPr>
        <w:footnoteRef/>
      </w:r>
      <w:r>
        <w:t xml:space="preserve"> Letter from Elizabeth Goldin, Esq., Counsel to AMFM Broadcasting Licenses, LLC, to Lewis Pulley, Assistant Chief, Policy Division, Media Bureau (September 26, 2011). </w:t>
      </w:r>
    </w:p>
  </w:footnote>
  <w:footnote w:id="5">
    <w:p w:rsidR="00855DEC" w:rsidRDefault="00855DEC" w:rsidP="00902CC5">
      <w:pPr>
        <w:pStyle w:val="FootnoteText"/>
        <w:jc w:val="left"/>
      </w:pPr>
      <w:r>
        <w:rPr>
          <w:rStyle w:val="FootnoteReference"/>
        </w:rPr>
        <w:footnoteRef/>
      </w:r>
      <w:r>
        <w:t xml:space="preserve"> 47 U.S.C. § 503(b)(1)(B).  </w:t>
      </w:r>
      <w:r>
        <w:rPr>
          <w:i/>
        </w:rPr>
        <w:t>S</w:t>
      </w:r>
      <w:r>
        <w:rPr>
          <w:i/>
          <w:iCs/>
        </w:rPr>
        <w:t>ee also</w:t>
      </w:r>
      <w:r>
        <w:t xml:space="preserve"> 47 C.F.R. § 1.80(a)(1).</w:t>
      </w:r>
    </w:p>
  </w:footnote>
  <w:footnote w:id="6">
    <w:p w:rsidR="00855DEC" w:rsidRDefault="00855DEC">
      <w:pPr>
        <w:pStyle w:val="FootnoteText"/>
      </w:pPr>
      <w:r>
        <w:rPr>
          <w:rStyle w:val="FootnoteReference"/>
        </w:rPr>
        <w:footnoteRef/>
      </w:r>
      <w:r>
        <w:t xml:space="preserve"> </w:t>
      </w:r>
      <w:smartTag w:uri="urn:schemas-microsoft-com:office:smarttags" w:element="State">
        <w:smartTag w:uri="urn:schemas-microsoft-com:office:smarttags" w:element="place">
          <w:r w:rsidRPr="000B7C01">
            <w:rPr>
              <w:i/>
            </w:rPr>
            <w:t>Id.</w:t>
          </w:r>
        </w:smartTag>
      </w:smartTag>
    </w:p>
  </w:footnote>
  <w:footnote w:id="7">
    <w:p w:rsidR="00855DEC" w:rsidRDefault="00855DEC">
      <w:pPr>
        <w:pStyle w:val="FootnoteText"/>
      </w:pPr>
      <w:r>
        <w:rPr>
          <w:rStyle w:val="FootnoteReference"/>
        </w:rPr>
        <w:footnoteRef/>
      </w:r>
      <w:r>
        <w:t xml:space="preserve"> 47 U.S.C. § 312(f)(1).</w:t>
      </w:r>
    </w:p>
  </w:footnote>
  <w:footnote w:id="8">
    <w:p w:rsidR="00855DEC" w:rsidRDefault="00855DEC">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9">
    <w:p w:rsidR="00855DEC" w:rsidRDefault="00855DEC">
      <w:pPr>
        <w:pStyle w:val="FootnoteText"/>
        <w:jc w:val="left"/>
      </w:pPr>
      <w:r>
        <w:rPr>
          <w:rStyle w:val="FootnoteReference"/>
        </w:rPr>
        <w:footnoteRef/>
      </w:r>
      <w:r>
        <w:rPr>
          <w:i/>
          <w:iCs/>
        </w:rPr>
        <w:t xml:space="preserve"> See Southern California Broadcasting Co.</w:t>
      </w:r>
      <w:r>
        <w:t>, Memorandum Opinion and Order, 6 FCC Rcd 4387, 4388 (1991).</w:t>
      </w:r>
    </w:p>
  </w:footnote>
  <w:footnote w:id="10">
    <w:p w:rsidR="00855DEC" w:rsidRDefault="00855DEC">
      <w:pPr>
        <w:pStyle w:val="FootnoteText"/>
      </w:pPr>
      <w:r>
        <w:rPr>
          <w:rStyle w:val="FootnoteReference"/>
        </w:rPr>
        <w:footnoteRef/>
      </w:r>
      <w:r>
        <w:t xml:space="preserve"> 47 U.S.C. § 312(f)(2). </w:t>
      </w:r>
    </w:p>
  </w:footnote>
  <w:footnote w:id="11">
    <w:p w:rsidR="00855DEC" w:rsidRDefault="00855DEC">
      <w:pPr>
        <w:pStyle w:val="FootnoteText"/>
        <w:jc w:val="left"/>
      </w:pPr>
      <w:r>
        <w:rPr>
          <w:rStyle w:val="FootnoteReference"/>
        </w:rPr>
        <w:footnoteRef/>
      </w:r>
      <w:r>
        <w:t xml:space="preserve"> 47 U.S.C. § 503(b)(2)(D); </w:t>
      </w:r>
      <w:r>
        <w:rPr>
          <w:i/>
        </w:rPr>
        <w:t>see also Forfeiture Policy Statement</w:t>
      </w:r>
      <w:r w:rsidRPr="000A7AD3">
        <w:rPr>
          <w:i/>
        </w:rPr>
        <w:t xml:space="preserve"> </w:t>
      </w:r>
      <w:r>
        <w:rPr>
          <w:i/>
        </w:rPr>
        <w:t>and Amendment of Section 1.80 of the Rules to Incorporate the Forfeiture Guidelines</w:t>
      </w:r>
      <w:r>
        <w:t xml:space="preserve">, Report and Order, 12 FCC Rcd 17087, 17100-01, ¶27; 17113-16 (1997) </w:t>
      </w:r>
      <w:r>
        <w:rPr>
          <w:i/>
        </w:rPr>
        <w:t>(“Forfeiture Policy Statement”),</w:t>
      </w:r>
      <w:r>
        <w:t xml:space="preserve"> </w:t>
      </w:r>
      <w:r>
        <w:rPr>
          <w:i/>
        </w:rPr>
        <w:t>recon. denied</w:t>
      </w:r>
      <w:r>
        <w:t xml:space="preserve">, 15 FCC Rcd 303 (1999); 47 C.F.R. § 1.80(b)(4); 47 C.F.R. § 1.80(b)(4), note to paragraph (b)(4), Section II.    </w:t>
      </w:r>
    </w:p>
  </w:footnote>
  <w:footnote w:id="12">
    <w:p w:rsidR="00855DEC" w:rsidRDefault="00855DEC">
      <w:pPr>
        <w:pStyle w:val="FootnoteText"/>
        <w:jc w:val="left"/>
      </w:pPr>
      <w:r>
        <w:rPr>
          <w:rStyle w:val="FootnoteReference"/>
        </w:rPr>
        <w:footnoteRef/>
      </w:r>
      <w:r>
        <w:t xml:space="preserve"> In </w:t>
      </w:r>
      <w:r>
        <w:rPr>
          <w:i/>
        </w:rPr>
        <w:t xml:space="preserve">CMP Houston-KC, LLC and CMP KC Licensing, </w:t>
      </w:r>
      <w:r w:rsidRPr="00E35756">
        <w:rPr>
          <w:i/>
        </w:rPr>
        <w:t>LLC</w:t>
      </w:r>
      <w:r>
        <w:t xml:space="preserve">, we proposed, among other things, a $1,000 forfeiture for a licensee’s violation of Section 73.2080(c)(1)(ii) and a $1,000 forfeiture for violation of Section </w:t>
      </w:r>
      <w:r>
        <w:rPr>
          <w:szCs w:val="22"/>
        </w:rPr>
        <w:t>73.2080(c)(3).  T</w:t>
      </w:r>
      <w:r>
        <w:t>he licensee had failed to provide notification of each full-time vacancy to two organizations that had requested vacancy notification o</w:t>
      </w:r>
      <w:r>
        <w:rPr>
          <w:szCs w:val="22"/>
        </w:rPr>
        <w:t xml:space="preserve">ver a five-month period.  </w:t>
      </w:r>
      <w:r>
        <w:rPr>
          <w:i/>
        </w:rPr>
        <w:t xml:space="preserve">CMP Houston-KC, LLC and CMP KC Licensing, </w:t>
      </w:r>
      <w:r w:rsidRPr="00E35756">
        <w:rPr>
          <w:i/>
        </w:rPr>
        <w:t>LLC</w:t>
      </w:r>
      <w:r>
        <w:t xml:space="preserve">, Notice of Apparent Liability for Forfeiture, 24 FCC Rcd 8900 (2009) (forfeiture paid).  Here, the Licensee’s notification and self-assessment failures are more egregious because it failed to provide notification of its vacancies to up to 21 organizations for 18 vacancies over a two-year period.  In addition, it failed to provide notifications </w:t>
      </w:r>
      <w:r w:rsidR="006F0773">
        <w:t>to</w:t>
      </w:r>
      <w:r>
        <w:t xml:space="preserve"> various numbers of organizations for 33 of 36 vacancies overall in this period.  </w:t>
      </w:r>
    </w:p>
  </w:footnote>
  <w:footnote w:id="13">
    <w:p w:rsidR="00855DEC" w:rsidRDefault="00855DEC" w:rsidP="002C13AD">
      <w:pPr>
        <w:rPr>
          <w:sz w:val="24"/>
          <w:szCs w:val="24"/>
        </w:rPr>
      </w:pPr>
      <w:r>
        <w:rPr>
          <w:rStyle w:val="FootnoteReference"/>
        </w:rPr>
        <w:footnoteRef/>
      </w:r>
      <w:r>
        <w:t xml:space="preserve"> </w:t>
      </w:r>
      <w:r w:rsidRPr="002C13AD">
        <w:rPr>
          <w:sz w:val="20"/>
        </w:rPr>
        <w:t xml:space="preserve">The forfeiture amounts do not consider any violations for WGRB(AM), WVAZ(FM), WLIT-FM, and WNUA(FM) because </w:t>
      </w:r>
      <w:r w:rsidR="006F0773">
        <w:rPr>
          <w:sz w:val="20"/>
        </w:rPr>
        <w:t>those</w:t>
      </w:r>
      <w:r w:rsidRPr="002C13AD">
        <w:rPr>
          <w:sz w:val="20"/>
        </w:rPr>
        <w:t xml:space="preserve"> stations’ renewal applications were granted on November 23, 2012.  </w:t>
      </w:r>
      <w:r w:rsidRPr="002C13AD">
        <w:rPr>
          <w:i/>
          <w:sz w:val="20"/>
        </w:rPr>
        <w:t>See</w:t>
      </w:r>
      <w:r w:rsidRPr="002C13AD">
        <w:rPr>
          <w:sz w:val="20"/>
        </w:rPr>
        <w:t xml:space="preserve"> File Nos. BR-20120801AOK, BR-20120801AOH, BR-20120801AOO, and BR-20120801AON, respectively; </w:t>
      </w:r>
      <w:r w:rsidRPr="002C13AD">
        <w:rPr>
          <w:i/>
          <w:iCs/>
          <w:sz w:val="20"/>
        </w:rPr>
        <w:t>see also</w:t>
      </w:r>
      <w:r w:rsidRPr="002C13AD">
        <w:rPr>
          <w:sz w:val="20"/>
        </w:rPr>
        <w:t xml:space="preserve"> 47 U.S.C. § 503(b)(6)(A) (Commission is barred from issuing an NAL to broadcast licensees </w:t>
      </w:r>
      <w:r>
        <w:rPr>
          <w:sz w:val="20"/>
        </w:rPr>
        <w:t>for violations which occurred during the previous license term if the license has already been renewed for the current term</w:t>
      </w:r>
      <w:r w:rsidRPr="002C13AD">
        <w:rPr>
          <w:sz w:val="20"/>
        </w:rPr>
        <w:t>.)  </w:t>
      </w:r>
    </w:p>
    <w:p w:rsidR="00855DEC" w:rsidRDefault="00855DEC" w:rsidP="00BE216E">
      <w:pPr>
        <w:pStyle w:val="FootnoteText"/>
        <w:jc w:val="left"/>
      </w:pPr>
    </w:p>
    <w:p w:rsidR="00855DEC" w:rsidRDefault="00855DEC" w:rsidP="005D42D8">
      <w:pPr>
        <w:pStyle w:val="FootnoteText"/>
      </w:pPr>
    </w:p>
    <w:p w:rsidR="00855DEC" w:rsidRDefault="00855DEC" w:rsidP="005D42D8">
      <w:pPr>
        <w:pStyle w:val="FootnoteText"/>
      </w:pPr>
    </w:p>
    <w:p w:rsidR="00855DEC" w:rsidRDefault="00855DEC" w:rsidP="005D42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9" w:rsidRDefault="0042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EC" w:rsidRDefault="00855DEC">
    <w:pPr>
      <w:pStyle w:val="Header"/>
      <w:tabs>
        <w:tab w:val="clear" w:pos="4320"/>
        <w:tab w:val="clear" w:pos="8640"/>
        <w:tab w:val="center" w:pos="4680"/>
        <w:tab w:val="right" w:pos="9360"/>
      </w:tabs>
      <w:rPr>
        <w:b/>
      </w:rPr>
    </w:pPr>
    <w:r>
      <w:rPr>
        <w:b/>
      </w:rPr>
      <w:tab/>
      <w:t>Federal Communications Commission</w:t>
    </w:r>
    <w:r>
      <w:rPr>
        <w:b/>
      </w:rPr>
      <w:tab/>
      <w:t xml:space="preserve">     DA 13-</w:t>
    </w:r>
    <w:r w:rsidR="001E2773">
      <w:rPr>
        <w:b/>
      </w:rPr>
      <w:t>2330</w:t>
    </w:r>
    <w:r>
      <w:rPr>
        <w:b/>
      </w:rPr>
      <w:t xml:space="preserve">   </w:t>
    </w:r>
  </w:p>
  <w:p w:rsidR="00855DEC" w:rsidRDefault="000527F2">
    <w:pPr>
      <w:pStyle w:val="Header"/>
      <w:tabs>
        <w:tab w:val="clear" w:pos="8640"/>
        <w:tab w:val="right" w:pos="9360"/>
      </w:tabs>
    </w:pPr>
    <w:r>
      <w:rPr>
        <w:noProof/>
      </w:rPr>
      <w:pict>
        <v:line id="_x0000_s2049" style="position:absolute;z-index:251658240" from="0,1.75pt" to="468pt,1.75pt" o:allowincell="f" strokeweight="1.5pt"/>
      </w:pict>
    </w:r>
  </w:p>
  <w:p w:rsidR="00855DEC" w:rsidRDefault="00855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EC" w:rsidRDefault="00855DEC">
    <w:pPr>
      <w:pStyle w:val="Header"/>
      <w:tabs>
        <w:tab w:val="clear" w:pos="4320"/>
        <w:tab w:val="clear" w:pos="8640"/>
        <w:tab w:val="center" w:pos="4680"/>
        <w:tab w:val="right" w:pos="9360"/>
      </w:tabs>
      <w:rPr>
        <w:b/>
      </w:rPr>
    </w:pPr>
    <w:r>
      <w:rPr>
        <w:b/>
      </w:rPr>
      <w:tab/>
      <w:t>Federal Communications Commission</w:t>
    </w:r>
    <w:r>
      <w:rPr>
        <w:b/>
      </w:rPr>
      <w:tab/>
      <w:t>DA 13-</w:t>
    </w:r>
    <w:r w:rsidR="001E2773">
      <w:rPr>
        <w:b/>
      </w:rPr>
      <w:t>2330</w:t>
    </w:r>
    <w:r>
      <w:rPr>
        <w:b/>
      </w:rPr>
      <w:t xml:space="preserve">  </w:t>
    </w:r>
    <w:r>
      <w:rPr>
        <w:b/>
      </w:rPr>
      <w:tab/>
      <w:t xml:space="preserve"> </w:t>
    </w:r>
  </w:p>
  <w:p w:rsidR="00855DEC" w:rsidRDefault="000527F2">
    <w:pPr>
      <w:pStyle w:val="Header"/>
      <w:tabs>
        <w:tab w:val="clear" w:pos="8640"/>
        <w:tab w:val="right" w:pos="9360"/>
      </w:tabs>
    </w:pPr>
    <w:r>
      <w:rPr>
        <w:noProof/>
      </w:rPr>
      <w:pict>
        <v:line id="_x0000_s2050"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05F"/>
    <w:multiLevelType w:val="multilevel"/>
    <w:tmpl w:val="CC2E839A"/>
    <w:lvl w:ilvl="0">
      <w:start w:val="1"/>
      <w:numFmt w:val="bullet"/>
      <w:lvlText w:val=""/>
      <w:lvlJc w:val="left"/>
      <w:pPr>
        <w:tabs>
          <w:tab w:val="num" w:pos="750"/>
        </w:tabs>
        <w:ind w:left="750" w:hanging="360"/>
      </w:pPr>
      <w:rPr>
        <w:rFonts w:ascii="Symbol" w:hAnsi="Symbol" w:hint="default"/>
      </w:rPr>
    </w:lvl>
    <w:lvl w:ilvl="1">
      <w:start w:val="1"/>
      <w:numFmt w:val="bullet"/>
      <w:lvlText w:val="o"/>
      <w:lvlJc w:val="left"/>
      <w:pPr>
        <w:tabs>
          <w:tab w:val="num" w:pos="1470"/>
        </w:tabs>
        <w:ind w:left="1470" w:hanging="360"/>
      </w:pPr>
      <w:rPr>
        <w:rFonts w:ascii="Courier New" w:hAnsi="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1">
    <w:nsid w:val="127306E6"/>
    <w:multiLevelType w:val="hybridMultilevel"/>
    <w:tmpl w:val="CC2E83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3731ED4"/>
    <w:multiLevelType w:val="hybridMultilevel"/>
    <w:tmpl w:val="C34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97569"/>
    <w:multiLevelType w:val="hybridMultilevel"/>
    <w:tmpl w:val="20F6D80C"/>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5B45DA"/>
    <w:multiLevelType w:val="hybridMultilevel"/>
    <w:tmpl w:val="37DE9A5C"/>
    <w:lvl w:ilvl="0" w:tplc="6C128B96">
      <w:start w:val="2"/>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6">
    <w:nsid w:val="3E1447F4"/>
    <w:multiLevelType w:val="hybridMultilevel"/>
    <w:tmpl w:val="049AC56C"/>
    <w:lvl w:ilvl="0" w:tplc="32C076D2">
      <w:start w:val="2"/>
      <w:numFmt w:val="decimal"/>
      <w:lvlText w:val="%1."/>
      <w:lvlJc w:val="left"/>
      <w:pPr>
        <w:tabs>
          <w:tab w:val="num" w:pos="1440"/>
        </w:tabs>
        <w:ind w:left="1440" w:hanging="660"/>
      </w:pPr>
      <w:rPr>
        <w:rFonts w:cs="Times New Roman" w:hint="default"/>
      </w:rPr>
    </w:lvl>
    <w:lvl w:ilvl="1" w:tplc="04090001">
      <w:start w:val="1"/>
      <w:numFmt w:val="bullet"/>
      <w:lvlText w:val=""/>
      <w:lvlJc w:val="left"/>
      <w:pPr>
        <w:tabs>
          <w:tab w:val="num" w:pos="1860"/>
        </w:tabs>
        <w:ind w:left="1860" w:hanging="360"/>
      </w:pPr>
      <w:rPr>
        <w:rFonts w:ascii="Symbol" w:hAnsi="Symbol" w:hint="default"/>
      </w:rPr>
    </w:lvl>
    <w:lvl w:ilvl="2" w:tplc="59907D2C">
      <w:start w:val="4"/>
      <w:numFmt w:val="lowerLetter"/>
      <w:lvlText w:val="(%3)"/>
      <w:lvlJc w:val="left"/>
      <w:pPr>
        <w:tabs>
          <w:tab w:val="num" w:pos="2775"/>
        </w:tabs>
        <w:ind w:left="2775" w:hanging="375"/>
      </w:pPr>
      <w:rPr>
        <w:rFonts w:cs="Times New Roman" w:hint="default"/>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
    <w:nsid w:val="408455CE"/>
    <w:multiLevelType w:val="hybridMultilevel"/>
    <w:tmpl w:val="01E654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421D3"/>
    <w:multiLevelType w:val="hybridMultilevel"/>
    <w:tmpl w:val="B71C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F7C7E"/>
    <w:multiLevelType w:val="hybridMultilevel"/>
    <w:tmpl w:val="FD1EEAD6"/>
    <w:lvl w:ilvl="0" w:tplc="9E64F26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7193158"/>
    <w:multiLevelType w:val="multilevel"/>
    <w:tmpl w:val="01E6540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50636D"/>
    <w:multiLevelType w:val="multilevel"/>
    <w:tmpl w:val="B836753E"/>
    <w:lvl w:ilvl="0">
      <w:start w:val="2"/>
      <w:numFmt w:val="decimal"/>
      <w:lvlText w:val="%1."/>
      <w:lvlJc w:val="left"/>
      <w:pPr>
        <w:tabs>
          <w:tab w:val="num" w:pos="1440"/>
        </w:tabs>
        <w:ind w:left="1440" w:hanging="6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num w:numId="1">
    <w:abstractNumId w:val="5"/>
  </w:num>
  <w:num w:numId="2">
    <w:abstractNumId w:val="2"/>
  </w:num>
  <w:num w:numId="3">
    <w:abstractNumId w:val="8"/>
  </w:num>
  <w:num w:numId="4">
    <w:abstractNumId w:val="1"/>
  </w:num>
  <w:num w:numId="5">
    <w:abstractNumId w:val="4"/>
  </w:num>
  <w:num w:numId="6">
    <w:abstractNumId w:val="6"/>
  </w:num>
  <w:num w:numId="7">
    <w:abstractNumId w:val="0"/>
  </w:num>
  <w:num w:numId="8">
    <w:abstractNumId w:val="7"/>
  </w:num>
  <w:num w:numId="9">
    <w:abstractNumId w:val="11"/>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15B0"/>
    <w:rsid w:val="000173EA"/>
    <w:rsid w:val="00020E49"/>
    <w:rsid w:val="0002387D"/>
    <w:rsid w:val="0004251E"/>
    <w:rsid w:val="000527F2"/>
    <w:rsid w:val="0005660E"/>
    <w:rsid w:val="0006693C"/>
    <w:rsid w:val="00067459"/>
    <w:rsid w:val="0007574F"/>
    <w:rsid w:val="00082629"/>
    <w:rsid w:val="000A49F4"/>
    <w:rsid w:val="000A6681"/>
    <w:rsid w:val="000A7AD3"/>
    <w:rsid w:val="000B2BAE"/>
    <w:rsid w:val="000B7C01"/>
    <w:rsid w:val="000F2478"/>
    <w:rsid w:val="00105630"/>
    <w:rsid w:val="0011290D"/>
    <w:rsid w:val="00131DA4"/>
    <w:rsid w:val="00145191"/>
    <w:rsid w:val="00151301"/>
    <w:rsid w:val="001704AC"/>
    <w:rsid w:val="00173279"/>
    <w:rsid w:val="001A2ED6"/>
    <w:rsid w:val="001A6334"/>
    <w:rsid w:val="001C5601"/>
    <w:rsid w:val="001D2B2E"/>
    <w:rsid w:val="001E2773"/>
    <w:rsid w:val="00204690"/>
    <w:rsid w:val="00212B02"/>
    <w:rsid w:val="00216797"/>
    <w:rsid w:val="00246073"/>
    <w:rsid w:val="00266374"/>
    <w:rsid w:val="00271CFF"/>
    <w:rsid w:val="00277D36"/>
    <w:rsid w:val="00297685"/>
    <w:rsid w:val="002B034C"/>
    <w:rsid w:val="002B5E7E"/>
    <w:rsid w:val="002B5E8F"/>
    <w:rsid w:val="002B66EA"/>
    <w:rsid w:val="002C09BB"/>
    <w:rsid w:val="002C13AD"/>
    <w:rsid w:val="002C2FB6"/>
    <w:rsid w:val="002C5401"/>
    <w:rsid w:val="002D095C"/>
    <w:rsid w:val="002E03F9"/>
    <w:rsid w:val="002E1099"/>
    <w:rsid w:val="002F7848"/>
    <w:rsid w:val="00315CF2"/>
    <w:rsid w:val="00320273"/>
    <w:rsid w:val="00344F6A"/>
    <w:rsid w:val="00365E44"/>
    <w:rsid w:val="003861A5"/>
    <w:rsid w:val="00393CEC"/>
    <w:rsid w:val="003B34F8"/>
    <w:rsid w:val="003B468D"/>
    <w:rsid w:val="003C1461"/>
    <w:rsid w:val="003C257B"/>
    <w:rsid w:val="003C60E7"/>
    <w:rsid w:val="003D41F5"/>
    <w:rsid w:val="003D624C"/>
    <w:rsid w:val="003F6445"/>
    <w:rsid w:val="003F6A1C"/>
    <w:rsid w:val="003F6BA5"/>
    <w:rsid w:val="00403D9C"/>
    <w:rsid w:val="00412163"/>
    <w:rsid w:val="004164D9"/>
    <w:rsid w:val="004239C9"/>
    <w:rsid w:val="00434957"/>
    <w:rsid w:val="0044036A"/>
    <w:rsid w:val="0045094E"/>
    <w:rsid w:val="00487922"/>
    <w:rsid w:val="004910E5"/>
    <w:rsid w:val="004931D0"/>
    <w:rsid w:val="00493FB7"/>
    <w:rsid w:val="004B4739"/>
    <w:rsid w:val="004C3801"/>
    <w:rsid w:val="004D5576"/>
    <w:rsid w:val="004E314E"/>
    <w:rsid w:val="00506C29"/>
    <w:rsid w:val="0050790B"/>
    <w:rsid w:val="005173EB"/>
    <w:rsid w:val="00517FAF"/>
    <w:rsid w:val="00527434"/>
    <w:rsid w:val="0054699B"/>
    <w:rsid w:val="00556556"/>
    <w:rsid w:val="00556B0D"/>
    <w:rsid w:val="005653DF"/>
    <w:rsid w:val="00565827"/>
    <w:rsid w:val="00567BE4"/>
    <w:rsid w:val="0058673B"/>
    <w:rsid w:val="00594810"/>
    <w:rsid w:val="005A0D71"/>
    <w:rsid w:val="005A3FE5"/>
    <w:rsid w:val="005B2C22"/>
    <w:rsid w:val="005B620E"/>
    <w:rsid w:val="005C1309"/>
    <w:rsid w:val="005D15B0"/>
    <w:rsid w:val="005D42D8"/>
    <w:rsid w:val="005D7198"/>
    <w:rsid w:val="005F31E1"/>
    <w:rsid w:val="00644D13"/>
    <w:rsid w:val="00647EB9"/>
    <w:rsid w:val="00656806"/>
    <w:rsid w:val="006573A7"/>
    <w:rsid w:val="00660247"/>
    <w:rsid w:val="00665205"/>
    <w:rsid w:val="00674A0C"/>
    <w:rsid w:val="00675398"/>
    <w:rsid w:val="006A31CC"/>
    <w:rsid w:val="006A399E"/>
    <w:rsid w:val="006B0954"/>
    <w:rsid w:val="006D12BE"/>
    <w:rsid w:val="006D3935"/>
    <w:rsid w:val="006E07E1"/>
    <w:rsid w:val="006F0773"/>
    <w:rsid w:val="006F1588"/>
    <w:rsid w:val="00701412"/>
    <w:rsid w:val="00703914"/>
    <w:rsid w:val="00707EAF"/>
    <w:rsid w:val="00714999"/>
    <w:rsid w:val="00716A55"/>
    <w:rsid w:val="00725D3D"/>
    <w:rsid w:val="0073644F"/>
    <w:rsid w:val="00764E10"/>
    <w:rsid w:val="007656DE"/>
    <w:rsid w:val="00777D8C"/>
    <w:rsid w:val="0078242A"/>
    <w:rsid w:val="00785339"/>
    <w:rsid w:val="0079035A"/>
    <w:rsid w:val="007A2BD7"/>
    <w:rsid w:val="007A4B55"/>
    <w:rsid w:val="007A53A5"/>
    <w:rsid w:val="007B654C"/>
    <w:rsid w:val="007D2A36"/>
    <w:rsid w:val="007D4D25"/>
    <w:rsid w:val="007D4F9C"/>
    <w:rsid w:val="007D5E0B"/>
    <w:rsid w:val="007F0423"/>
    <w:rsid w:val="007F1826"/>
    <w:rsid w:val="007F43CC"/>
    <w:rsid w:val="008028D0"/>
    <w:rsid w:val="0081272B"/>
    <w:rsid w:val="00813F8C"/>
    <w:rsid w:val="00817254"/>
    <w:rsid w:val="00820F23"/>
    <w:rsid w:val="0082307C"/>
    <w:rsid w:val="00827F13"/>
    <w:rsid w:val="0083081C"/>
    <w:rsid w:val="00831563"/>
    <w:rsid w:val="00833266"/>
    <w:rsid w:val="008377CF"/>
    <w:rsid w:val="0084571E"/>
    <w:rsid w:val="00845CC7"/>
    <w:rsid w:val="008475CC"/>
    <w:rsid w:val="00851B79"/>
    <w:rsid w:val="00855DEC"/>
    <w:rsid w:val="00877020"/>
    <w:rsid w:val="008870A2"/>
    <w:rsid w:val="00895AD9"/>
    <w:rsid w:val="008977E7"/>
    <w:rsid w:val="008A1F9F"/>
    <w:rsid w:val="008A4ED2"/>
    <w:rsid w:val="008D1F9D"/>
    <w:rsid w:val="008E1461"/>
    <w:rsid w:val="008E75CF"/>
    <w:rsid w:val="008F192A"/>
    <w:rsid w:val="008F722F"/>
    <w:rsid w:val="00902CC5"/>
    <w:rsid w:val="009111C2"/>
    <w:rsid w:val="0092275D"/>
    <w:rsid w:val="00932341"/>
    <w:rsid w:val="009600B4"/>
    <w:rsid w:val="00970EE6"/>
    <w:rsid w:val="00987DA4"/>
    <w:rsid w:val="009B0024"/>
    <w:rsid w:val="009B1B28"/>
    <w:rsid w:val="009B41C2"/>
    <w:rsid w:val="009D1EAF"/>
    <w:rsid w:val="009D2086"/>
    <w:rsid w:val="009D5B72"/>
    <w:rsid w:val="009D7313"/>
    <w:rsid w:val="009F4B8A"/>
    <w:rsid w:val="00A01283"/>
    <w:rsid w:val="00A01A7C"/>
    <w:rsid w:val="00A0596D"/>
    <w:rsid w:val="00A14126"/>
    <w:rsid w:val="00A423EF"/>
    <w:rsid w:val="00A4342C"/>
    <w:rsid w:val="00A4669C"/>
    <w:rsid w:val="00A52F57"/>
    <w:rsid w:val="00A873FF"/>
    <w:rsid w:val="00A87B08"/>
    <w:rsid w:val="00A94EB4"/>
    <w:rsid w:val="00A94EF0"/>
    <w:rsid w:val="00AD14E7"/>
    <w:rsid w:val="00AE1784"/>
    <w:rsid w:val="00AE531C"/>
    <w:rsid w:val="00AE76A1"/>
    <w:rsid w:val="00B119D6"/>
    <w:rsid w:val="00B13BCF"/>
    <w:rsid w:val="00B1420E"/>
    <w:rsid w:val="00B24F1C"/>
    <w:rsid w:val="00B25B58"/>
    <w:rsid w:val="00B33BD9"/>
    <w:rsid w:val="00B50E9B"/>
    <w:rsid w:val="00B75683"/>
    <w:rsid w:val="00B77B19"/>
    <w:rsid w:val="00BA1935"/>
    <w:rsid w:val="00BA5328"/>
    <w:rsid w:val="00BE216E"/>
    <w:rsid w:val="00BF5FD1"/>
    <w:rsid w:val="00C068E8"/>
    <w:rsid w:val="00C16B34"/>
    <w:rsid w:val="00C23C1A"/>
    <w:rsid w:val="00C367E7"/>
    <w:rsid w:val="00C37DB5"/>
    <w:rsid w:val="00C4115D"/>
    <w:rsid w:val="00C53E4D"/>
    <w:rsid w:val="00C82CAF"/>
    <w:rsid w:val="00C86876"/>
    <w:rsid w:val="00C91344"/>
    <w:rsid w:val="00CD174E"/>
    <w:rsid w:val="00CD791D"/>
    <w:rsid w:val="00CE04D7"/>
    <w:rsid w:val="00D14E87"/>
    <w:rsid w:val="00D21561"/>
    <w:rsid w:val="00D246F2"/>
    <w:rsid w:val="00D25F4F"/>
    <w:rsid w:val="00D26CDF"/>
    <w:rsid w:val="00D347D3"/>
    <w:rsid w:val="00D41AB4"/>
    <w:rsid w:val="00D51EEA"/>
    <w:rsid w:val="00D54012"/>
    <w:rsid w:val="00D7444D"/>
    <w:rsid w:val="00DA06A8"/>
    <w:rsid w:val="00DA28B6"/>
    <w:rsid w:val="00DB382C"/>
    <w:rsid w:val="00DD777B"/>
    <w:rsid w:val="00E17FE5"/>
    <w:rsid w:val="00E21B5F"/>
    <w:rsid w:val="00E222BD"/>
    <w:rsid w:val="00E22A9A"/>
    <w:rsid w:val="00E35756"/>
    <w:rsid w:val="00E43E1A"/>
    <w:rsid w:val="00E754F3"/>
    <w:rsid w:val="00E85435"/>
    <w:rsid w:val="00E863E6"/>
    <w:rsid w:val="00EA6300"/>
    <w:rsid w:val="00EB36EF"/>
    <w:rsid w:val="00EC69AF"/>
    <w:rsid w:val="00EF2DE4"/>
    <w:rsid w:val="00F22E75"/>
    <w:rsid w:val="00F3500C"/>
    <w:rsid w:val="00F35562"/>
    <w:rsid w:val="00F41AA8"/>
    <w:rsid w:val="00F4318F"/>
    <w:rsid w:val="00F4388F"/>
    <w:rsid w:val="00F50AD8"/>
    <w:rsid w:val="00F57939"/>
    <w:rsid w:val="00F637DA"/>
    <w:rsid w:val="00F66660"/>
    <w:rsid w:val="00F707B8"/>
    <w:rsid w:val="00F70961"/>
    <w:rsid w:val="00F7358D"/>
    <w:rsid w:val="00F800BA"/>
    <w:rsid w:val="00F80E77"/>
    <w:rsid w:val="00F91213"/>
    <w:rsid w:val="00F93423"/>
    <w:rsid w:val="00FA0F2A"/>
    <w:rsid w:val="00FB34EA"/>
    <w:rsid w:val="00FC3C2C"/>
    <w:rsid w:val="00FC7764"/>
    <w:rsid w:val="00FD39B5"/>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660247"/>
    <w:pPr>
      <w:widowControl w:val="0"/>
      <w:numPr>
        <w:numId w:val="1"/>
      </w:numPr>
      <w:tabs>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basedOn w:val="Normal"/>
    <w:link w:val="FootnoteTextChar2"/>
    <w:uiPriority w:val="99"/>
    <w:semiHidden/>
    <w:rsid w:val="00660247"/>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locked/>
    <w:rsid w:val="00660247"/>
    <w:rPr>
      <w:lang w:val="en-US" w:eastAsia="en-US"/>
    </w:rPr>
  </w:style>
  <w:style w:type="character" w:styleId="FootnoteReference">
    <w:name w:val="footnote reference"/>
    <w:uiPriority w:val="99"/>
    <w:semiHidden/>
    <w:rsid w:val="00660247"/>
    <w:rPr>
      <w:rFonts w:cs="Times New Roman"/>
      <w:vertAlign w:val="superscript"/>
    </w:rPr>
  </w:style>
  <w:style w:type="paragraph" w:styleId="Header">
    <w:name w:val="header"/>
    <w:basedOn w:val="Normal"/>
    <w:link w:val="HeaderChar"/>
    <w:uiPriority w:val="99"/>
    <w:rsid w:val="00660247"/>
    <w:pPr>
      <w:tabs>
        <w:tab w:val="center" w:pos="4320"/>
        <w:tab w:val="right" w:pos="8640"/>
      </w:tabs>
    </w:pPr>
  </w:style>
  <w:style w:type="character" w:customStyle="1" w:styleId="HeaderChar">
    <w:name w:val="Header Char"/>
    <w:link w:val="Header"/>
    <w:uiPriority w:val="99"/>
    <w:semiHidden/>
    <w:rsid w:val="00214AD6"/>
    <w:rPr>
      <w:szCs w:val="20"/>
    </w:rPr>
  </w:style>
  <w:style w:type="paragraph" w:styleId="Footer">
    <w:name w:val="footer"/>
    <w:basedOn w:val="Normal"/>
    <w:link w:val="FooterChar"/>
    <w:uiPriority w:val="99"/>
    <w:rsid w:val="00660247"/>
    <w:pPr>
      <w:tabs>
        <w:tab w:val="center" w:pos="4320"/>
        <w:tab w:val="right" w:pos="8640"/>
      </w:tabs>
    </w:pPr>
  </w:style>
  <w:style w:type="character" w:customStyle="1" w:styleId="FooterChar">
    <w:name w:val="Footer Char"/>
    <w:link w:val="Footer"/>
    <w:uiPriority w:val="99"/>
    <w:semiHidden/>
    <w:rsid w:val="00214AD6"/>
    <w:rPr>
      <w:szCs w:val="20"/>
    </w:rPr>
  </w:style>
  <w:style w:type="character" w:styleId="PageNumber">
    <w:name w:val="page number"/>
    <w:uiPriority w:val="99"/>
    <w:rsid w:val="00660247"/>
    <w:rPr>
      <w:rFonts w:cs="Times New Roman"/>
    </w:rPr>
  </w:style>
  <w:style w:type="paragraph" w:styleId="BalloonText">
    <w:name w:val="Balloon Text"/>
    <w:basedOn w:val="Normal"/>
    <w:link w:val="BalloonTextChar"/>
    <w:uiPriority w:val="99"/>
    <w:semiHidden/>
    <w:rsid w:val="00660247"/>
    <w:rPr>
      <w:rFonts w:ascii="Tahoma" w:hAnsi="Tahoma" w:cs="Tahoma"/>
      <w:sz w:val="16"/>
      <w:szCs w:val="16"/>
    </w:rPr>
  </w:style>
  <w:style w:type="character" w:customStyle="1" w:styleId="BalloonTextChar">
    <w:name w:val="Balloon Text Char"/>
    <w:link w:val="BalloonText"/>
    <w:uiPriority w:val="99"/>
    <w:semiHidden/>
    <w:rsid w:val="00214AD6"/>
    <w:rPr>
      <w:sz w:val="0"/>
      <w:szCs w:val="0"/>
    </w:rPr>
  </w:style>
  <w:style w:type="character" w:styleId="Hyperlink">
    <w:name w:val="Hyperlink"/>
    <w:uiPriority w:val="99"/>
    <w:rsid w:val="00660247"/>
    <w:rPr>
      <w:rFonts w:cs="Times New Roman"/>
      <w:color w:val="0000FF"/>
      <w:u w:val="single"/>
    </w:rPr>
  </w:style>
  <w:style w:type="paragraph" w:styleId="Revision">
    <w:name w:val="Revision"/>
    <w:hidden/>
    <w:uiPriority w:val="99"/>
    <w:semiHidden/>
    <w:rsid w:val="005658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660247"/>
    <w:pPr>
      <w:widowControl w:val="0"/>
      <w:numPr>
        <w:numId w:val="1"/>
      </w:numPr>
      <w:tabs>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basedOn w:val="Normal"/>
    <w:link w:val="FootnoteTextChar2"/>
    <w:uiPriority w:val="99"/>
    <w:semiHidden/>
    <w:rsid w:val="00660247"/>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locked/>
    <w:rsid w:val="00660247"/>
    <w:rPr>
      <w:lang w:val="en-US" w:eastAsia="en-US"/>
    </w:rPr>
  </w:style>
  <w:style w:type="character" w:styleId="FootnoteReference">
    <w:name w:val="footnote reference"/>
    <w:uiPriority w:val="99"/>
    <w:semiHidden/>
    <w:rsid w:val="00660247"/>
    <w:rPr>
      <w:rFonts w:cs="Times New Roman"/>
      <w:vertAlign w:val="superscript"/>
    </w:rPr>
  </w:style>
  <w:style w:type="paragraph" w:styleId="Header">
    <w:name w:val="header"/>
    <w:basedOn w:val="Normal"/>
    <w:link w:val="HeaderChar"/>
    <w:uiPriority w:val="99"/>
    <w:rsid w:val="00660247"/>
    <w:pPr>
      <w:tabs>
        <w:tab w:val="center" w:pos="4320"/>
        <w:tab w:val="right" w:pos="8640"/>
      </w:tabs>
    </w:pPr>
  </w:style>
  <w:style w:type="character" w:customStyle="1" w:styleId="HeaderChar">
    <w:name w:val="Header Char"/>
    <w:link w:val="Header"/>
    <w:uiPriority w:val="99"/>
    <w:semiHidden/>
    <w:rsid w:val="00214AD6"/>
    <w:rPr>
      <w:szCs w:val="20"/>
    </w:rPr>
  </w:style>
  <w:style w:type="paragraph" w:styleId="Footer">
    <w:name w:val="footer"/>
    <w:basedOn w:val="Normal"/>
    <w:link w:val="FooterChar"/>
    <w:uiPriority w:val="99"/>
    <w:rsid w:val="00660247"/>
    <w:pPr>
      <w:tabs>
        <w:tab w:val="center" w:pos="4320"/>
        <w:tab w:val="right" w:pos="8640"/>
      </w:tabs>
    </w:pPr>
  </w:style>
  <w:style w:type="character" w:customStyle="1" w:styleId="FooterChar">
    <w:name w:val="Footer Char"/>
    <w:link w:val="Footer"/>
    <w:uiPriority w:val="99"/>
    <w:semiHidden/>
    <w:rsid w:val="00214AD6"/>
    <w:rPr>
      <w:szCs w:val="20"/>
    </w:rPr>
  </w:style>
  <w:style w:type="character" w:styleId="PageNumber">
    <w:name w:val="page number"/>
    <w:uiPriority w:val="99"/>
    <w:rsid w:val="00660247"/>
    <w:rPr>
      <w:rFonts w:cs="Times New Roman"/>
    </w:rPr>
  </w:style>
  <w:style w:type="paragraph" w:styleId="BalloonText">
    <w:name w:val="Balloon Text"/>
    <w:basedOn w:val="Normal"/>
    <w:link w:val="BalloonTextChar"/>
    <w:uiPriority w:val="99"/>
    <w:semiHidden/>
    <w:rsid w:val="00660247"/>
    <w:rPr>
      <w:rFonts w:ascii="Tahoma" w:hAnsi="Tahoma" w:cs="Tahoma"/>
      <w:sz w:val="16"/>
      <w:szCs w:val="16"/>
    </w:rPr>
  </w:style>
  <w:style w:type="character" w:customStyle="1" w:styleId="BalloonTextChar">
    <w:name w:val="Balloon Text Char"/>
    <w:link w:val="BalloonText"/>
    <w:uiPriority w:val="99"/>
    <w:semiHidden/>
    <w:rsid w:val="00214AD6"/>
    <w:rPr>
      <w:sz w:val="0"/>
      <w:szCs w:val="0"/>
    </w:rPr>
  </w:style>
  <w:style w:type="character" w:styleId="Hyperlink">
    <w:name w:val="Hyperlink"/>
    <w:uiPriority w:val="99"/>
    <w:rsid w:val="00660247"/>
    <w:rPr>
      <w:rFonts w:cs="Times New Roman"/>
      <w:color w:val="0000FF"/>
      <w:u w:val="single"/>
    </w:rPr>
  </w:style>
  <w:style w:type="paragraph" w:styleId="Revision">
    <w:name w:val="Revision"/>
    <w:hidden/>
    <w:uiPriority w:val="99"/>
    <w:semiHidden/>
    <w:rsid w:val="005658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2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9814</Characters>
  <Application>Microsoft Office Word</Application>
  <DocSecurity>0</DocSecurity>
  <Lines>225</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2013-11-26T15:35:00Z</cp:lastPrinted>
  <dcterms:created xsi:type="dcterms:W3CDTF">2013-12-05T18:14:00Z</dcterms:created>
  <dcterms:modified xsi:type="dcterms:W3CDTF">2013-12-05T18:14:00Z</dcterms:modified>
  <cp:category> </cp:category>
  <cp:contentStatus> </cp:contentStatus>
</cp:coreProperties>
</file>